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360" w:lineRule="auto"/>
        <w:jc w:val="right"/>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drawing>
          <wp:inline distT="0" distB="0" distL="0" distR="0">
            <wp:extent cx="857250" cy="299720"/>
            <wp:effectExtent l="0" t="0" r="0" b="508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862585" cy="301511"/>
                    </a:xfrm>
                    <a:prstGeom prst="rect">
                      <a:avLst/>
                    </a:prstGeom>
                  </pic:spPr>
                </pic:pic>
              </a:graphicData>
            </a:graphic>
          </wp:inline>
        </w:drawing>
      </w:r>
    </w:p>
    <w:p>
      <w:pPr>
        <w:widowControl/>
        <w:spacing w:line="360" w:lineRule="auto"/>
        <w:jc w:val="center"/>
        <w:rPr>
          <w:rFonts w:asciiTheme="minorHAnsi" w:hAnsiTheme="minorHAnsi" w:eastAsiaTheme="majorEastAsia" w:cstheme="minorHAnsi"/>
          <w:b/>
          <w:kern w:val="0"/>
          <w:sz w:val="32"/>
          <w:szCs w:val="21"/>
        </w:rPr>
      </w:pPr>
    </w:p>
    <w:p>
      <w:pPr>
        <w:widowControl/>
        <w:spacing w:line="360" w:lineRule="auto"/>
        <w:jc w:val="center"/>
        <w:rPr>
          <w:rFonts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美国加州</w:t>
      </w:r>
      <w:r>
        <w:rPr>
          <w:rFonts w:asciiTheme="minorHAnsi" w:hAnsiTheme="minorHAnsi" w:eastAsiaTheme="majorEastAsia" w:cstheme="minorHAnsi"/>
          <w:b/>
          <w:kern w:val="0"/>
          <w:sz w:val="32"/>
          <w:szCs w:val="21"/>
        </w:rPr>
        <w:t>大学</w:t>
      </w:r>
      <w:r>
        <w:rPr>
          <w:rFonts w:hint="eastAsia" w:asciiTheme="minorHAnsi" w:hAnsiTheme="minorHAnsi" w:eastAsiaTheme="majorEastAsia" w:cstheme="minorHAnsi"/>
          <w:b/>
          <w:kern w:val="0"/>
          <w:sz w:val="32"/>
          <w:szCs w:val="21"/>
        </w:rPr>
        <w:t>伯克利分校</w:t>
      </w:r>
    </w:p>
    <w:p>
      <w:pPr>
        <w:widowControl/>
        <w:spacing w:line="360" w:lineRule="auto"/>
        <w:jc w:val="center"/>
        <w:rPr>
          <w:rFonts w:hint="eastAsia" w:asciiTheme="minorHAnsi" w:hAnsiTheme="minorHAnsi" w:eastAsiaTheme="majorEastAsia" w:cstheme="minorHAnsi"/>
          <w:b/>
          <w:kern w:val="0"/>
          <w:sz w:val="32"/>
          <w:szCs w:val="21"/>
        </w:rPr>
      </w:pPr>
      <w:r>
        <w:rPr>
          <w:rFonts w:hint="eastAsia" w:asciiTheme="minorHAnsi" w:hAnsiTheme="minorHAnsi" w:eastAsiaTheme="majorEastAsia" w:cstheme="minorHAnsi"/>
          <w:b/>
          <w:kern w:val="0"/>
          <w:sz w:val="32"/>
          <w:szCs w:val="21"/>
        </w:rPr>
        <w:t>2020春季</w:t>
      </w:r>
      <w:r>
        <w:rPr>
          <w:rFonts w:asciiTheme="minorHAnsi" w:hAnsiTheme="minorHAnsi" w:eastAsiaTheme="majorEastAsia" w:cstheme="minorHAnsi"/>
          <w:b/>
          <w:kern w:val="0"/>
          <w:sz w:val="32"/>
          <w:szCs w:val="21"/>
        </w:rPr>
        <w:t>访学</w:t>
      </w:r>
      <w:r>
        <w:rPr>
          <w:rFonts w:hint="eastAsia" w:asciiTheme="minorHAnsi" w:hAnsiTheme="minorHAnsi" w:eastAsiaTheme="majorEastAsia" w:cstheme="minorHAnsi"/>
          <w:b/>
          <w:kern w:val="0"/>
          <w:sz w:val="32"/>
          <w:szCs w:val="21"/>
        </w:rPr>
        <w:t>项目</w:t>
      </w:r>
    </w:p>
    <w:p>
      <w:pPr>
        <w:widowControl/>
        <w:spacing w:line="360" w:lineRule="auto"/>
        <w:jc w:val="center"/>
        <w:rPr>
          <w:rFonts w:asciiTheme="minorHAnsi" w:hAnsiTheme="minorHAnsi" w:eastAsiaTheme="majorEastAsia" w:cstheme="minorHAnsi"/>
          <w:b w:val="0"/>
          <w:bCs/>
          <w:kern w:val="0"/>
          <w:szCs w:val="21"/>
        </w:rPr>
      </w:pPr>
      <w:r>
        <w:rPr>
          <w:rFonts w:hint="eastAsia" w:asciiTheme="minorHAnsi" w:hAnsiTheme="minorHAnsi" w:eastAsiaTheme="majorEastAsia" w:cstheme="minorHAnsi"/>
          <w:b w:val="0"/>
          <w:bCs/>
          <w:kern w:val="0"/>
          <w:sz w:val="32"/>
          <w:szCs w:val="21"/>
        </w:rPr>
        <w:t>U</w:t>
      </w:r>
      <w:r>
        <w:rPr>
          <w:rFonts w:asciiTheme="minorHAnsi" w:hAnsiTheme="minorHAnsi" w:eastAsiaTheme="majorEastAsia" w:cstheme="minorHAnsi"/>
          <w:b w:val="0"/>
          <w:bCs/>
          <w:kern w:val="0"/>
          <w:sz w:val="32"/>
          <w:szCs w:val="21"/>
        </w:rPr>
        <w:t>niversity of California Berkeley</w:t>
      </w:r>
    </w:p>
    <w:p>
      <w:pPr>
        <w:widowControl/>
        <w:spacing w:line="360" w:lineRule="auto"/>
        <w:jc w:val="center"/>
        <w:rPr>
          <w:rFonts w:hint="eastAsia" w:asciiTheme="minorHAnsi" w:hAnsiTheme="minorHAnsi" w:cstheme="minorHAnsi"/>
          <w:b w:val="0"/>
          <w:bCs/>
        </w:rPr>
      </w:pPr>
      <w:r>
        <w:rPr>
          <w:rFonts w:asciiTheme="minorHAnsi" w:hAnsiTheme="minorHAnsi" w:cstheme="minorHAnsi"/>
          <w:b w:val="0"/>
          <w:bCs/>
        </w:rPr>
        <w:t>2020</w:t>
      </w:r>
      <w:r>
        <w:rPr>
          <w:rFonts w:hint="eastAsia" w:asciiTheme="minorHAnsi" w:hAnsiTheme="minorHAnsi" w:cstheme="minorHAnsi"/>
          <w:b w:val="0"/>
          <w:bCs/>
        </w:rPr>
        <w:t>年</w:t>
      </w:r>
      <w:r>
        <w:rPr>
          <w:rFonts w:asciiTheme="minorHAnsi" w:hAnsiTheme="minorHAnsi" w:cstheme="minorHAnsi"/>
          <w:b w:val="0"/>
          <w:bCs/>
        </w:rPr>
        <w:t>1</w:t>
      </w:r>
      <w:r>
        <w:rPr>
          <w:rFonts w:hint="eastAsia" w:asciiTheme="minorHAnsi" w:hAnsiTheme="minorHAnsi" w:cstheme="minorHAnsi"/>
          <w:b w:val="0"/>
          <w:bCs/>
        </w:rPr>
        <w:t>月</w:t>
      </w:r>
      <w:r>
        <w:rPr>
          <w:rFonts w:asciiTheme="minorHAnsi" w:hAnsiTheme="minorHAnsi" w:cstheme="minorHAnsi"/>
          <w:b w:val="0"/>
          <w:bCs/>
        </w:rPr>
        <w:t>16</w:t>
      </w:r>
      <w:r>
        <w:rPr>
          <w:rFonts w:hint="eastAsia" w:asciiTheme="minorHAnsi" w:hAnsiTheme="minorHAnsi" w:cstheme="minorHAnsi"/>
          <w:b w:val="0"/>
          <w:bCs/>
        </w:rPr>
        <w:t>日</w:t>
      </w:r>
      <w:r>
        <w:rPr>
          <w:rFonts w:asciiTheme="minorHAnsi" w:hAnsiTheme="minorHAnsi" w:cstheme="minorHAnsi"/>
          <w:b w:val="0"/>
          <w:bCs/>
        </w:rPr>
        <w:t>- 5</w:t>
      </w:r>
      <w:r>
        <w:rPr>
          <w:rFonts w:hint="eastAsia" w:asciiTheme="minorHAnsi" w:hAnsiTheme="minorHAnsi" w:cstheme="minorHAnsi"/>
          <w:b w:val="0"/>
          <w:bCs/>
        </w:rPr>
        <w:t>月</w:t>
      </w:r>
      <w:r>
        <w:rPr>
          <w:rFonts w:asciiTheme="minorHAnsi" w:hAnsiTheme="minorHAnsi" w:cstheme="minorHAnsi"/>
          <w:b w:val="0"/>
          <w:bCs/>
        </w:rPr>
        <w:t>15</w:t>
      </w:r>
      <w:r>
        <w:rPr>
          <w:rFonts w:hint="eastAsia" w:asciiTheme="minorHAnsi" w:hAnsiTheme="minorHAnsi" w:cstheme="minorHAnsi"/>
          <w:b w:val="0"/>
          <w:bCs/>
        </w:rPr>
        <w:t>日</w:t>
      </w:r>
    </w:p>
    <w:p>
      <w:pPr>
        <w:widowControl/>
        <w:spacing w:line="360" w:lineRule="auto"/>
        <w:jc w:val="center"/>
        <w:rPr>
          <w:rFonts w:hint="eastAsia" w:asciiTheme="minorHAnsi" w:hAnsiTheme="minorHAnsi" w:cstheme="minorHAnsi"/>
          <w:b/>
        </w:rPr>
      </w:pPr>
    </w:p>
    <w:p>
      <w:pPr>
        <w:pStyle w:val="17"/>
        <w:widowControl/>
        <w:numPr>
          <w:ilvl w:val="0"/>
          <w:numId w:val="1"/>
        </w:numPr>
        <w:spacing w:line="360" w:lineRule="auto"/>
        <w:ind w:firstLineChars="0"/>
        <w:jc w:val="left"/>
        <w:rPr>
          <w:rFonts w:hint="eastAsia" w:ascii="宋体" w:hAnsi="宋体" w:eastAsia="宋体" w:cs="宋体"/>
          <w:b/>
          <w:kern w:val="0"/>
          <w:sz w:val="21"/>
          <w:szCs w:val="21"/>
        </w:rPr>
      </w:pPr>
      <w:r>
        <w:rPr>
          <w:rFonts w:hint="eastAsia" w:ascii="宋体" w:hAnsi="宋体" w:eastAsia="宋体" w:cs="宋体"/>
          <w:b/>
          <w:kern w:val="0"/>
          <w:sz w:val="21"/>
          <w:szCs w:val="21"/>
        </w:rPr>
        <w:t xml:space="preserve"> 项目综述</w:t>
      </w:r>
    </w:p>
    <w:p>
      <w:pPr>
        <w:widowControl/>
        <w:spacing w:line="360" w:lineRule="auto"/>
        <w:ind w:firstLine="430"/>
        <w:jc w:val="left"/>
        <w:rPr>
          <w:rFonts w:hint="eastAsia" w:ascii="宋体" w:hAnsi="宋体" w:eastAsia="宋体" w:cs="宋体"/>
          <w:bCs/>
          <w:sz w:val="21"/>
          <w:szCs w:val="21"/>
        </w:rPr>
      </w:pPr>
      <w:r>
        <w:rPr>
          <w:rFonts w:hint="eastAsia" w:ascii="宋体" w:hAnsi="宋体" w:eastAsia="宋体" w:cs="宋体"/>
          <w:sz w:val="21"/>
          <w:szCs w:val="21"/>
        </w:rPr>
        <w:t>加州大学伯克利分校春季访学项目由加州大学伯克利分校继续教育学院（Extension）开设, 提供包括</w:t>
      </w:r>
      <w:r>
        <w:rPr>
          <w:rFonts w:hint="eastAsia" w:ascii="宋体" w:hAnsi="宋体" w:eastAsia="宋体" w:cs="宋体"/>
          <w:bCs/>
          <w:sz w:val="21"/>
          <w:szCs w:val="21"/>
        </w:rPr>
        <w:t>学期学分课程（BGA Discover Program）、哈斯商学院学期学分课程、环境设计学院学期学分课程、法学院学期学分课程等不同选择。项目学生可根据自身的专业需求，选报相应的专业学分课程。</w:t>
      </w:r>
    </w:p>
    <w:p>
      <w:pPr>
        <w:widowControl/>
        <w:spacing w:line="360" w:lineRule="auto"/>
        <w:ind w:firstLine="430"/>
        <w:jc w:val="left"/>
        <w:rPr>
          <w:rFonts w:hint="eastAsia" w:ascii="宋体" w:hAnsi="宋体" w:eastAsia="宋体" w:cs="宋体"/>
          <w:sz w:val="21"/>
          <w:szCs w:val="21"/>
        </w:rPr>
      </w:pPr>
    </w:p>
    <w:p>
      <w:pPr>
        <w:pStyle w:val="17"/>
        <w:widowControl/>
        <w:spacing w:line="360" w:lineRule="auto"/>
        <w:ind w:left="420" w:firstLine="0"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全美国际教育协会作为加州大学伯克利分校继续教育学院在中国的正式授权机构，负</w:t>
      </w:r>
    </w:p>
    <w:p>
      <w:pPr>
        <w:widowControl/>
        <w:spacing w:line="36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责选拔优秀中国大学生，于2020年春季前往加州大学伯克利分校参加访学项目。项目学生将与全世界其它国家的国际学生混班上课，迅速提升自身的英语水平与专业学术技能，同时体验美国的社会与文化。</w:t>
      </w:r>
    </w:p>
    <w:p>
      <w:pPr>
        <w:widowControl/>
        <w:spacing w:line="360" w:lineRule="auto"/>
        <w:jc w:val="left"/>
        <w:rPr>
          <w:rFonts w:hint="eastAsia" w:ascii="宋体" w:hAnsi="宋体" w:eastAsia="宋体" w:cs="宋体"/>
          <w:sz w:val="21"/>
          <w:szCs w:val="21"/>
        </w:rPr>
      </w:pPr>
    </w:p>
    <w:p>
      <w:pPr>
        <w:keepNext w:val="0"/>
        <w:keepLines w:val="0"/>
        <w:pageBreakBefore w:val="0"/>
        <w:widowControl/>
        <w:kinsoku/>
        <w:wordWrap/>
        <w:overflowPunct/>
        <w:topLinePunct w:val="0"/>
        <w:autoSpaceDE/>
        <w:autoSpaceDN/>
        <w:bidi w:val="0"/>
        <w:adjustRightInd/>
        <w:snapToGrid/>
        <w:spacing w:line="360" w:lineRule="auto"/>
        <w:ind w:firstLine="420"/>
        <w:jc w:val="left"/>
        <w:textAlignment w:val="auto"/>
        <w:rPr>
          <w:rFonts w:hint="eastAsia" w:ascii="宋体" w:hAnsi="宋体" w:eastAsia="宋体" w:cs="宋体"/>
          <w:sz w:val="21"/>
          <w:szCs w:val="21"/>
        </w:rPr>
      </w:pPr>
      <w:r>
        <w:rPr>
          <w:rFonts w:hint="default" w:ascii="宋体" w:hAnsi="宋体" w:eastAsia="宋体" w:cs="宋体"/>
          <w:color w:val="000000"/>
          <w:sz w:val="21"/>
          <w:szCs w:val="21"/>
          <w:lang w:val="en-US"/>
        </w:rPr>
        <w:drawing>
          <wp:anchor distT="0" distB="0" distL="114300" distR="114300" simplePos="0" relativeHeight="251665408" behindDoc="0" locked="0" layoutInCell="1" allowOverlap="1">
            <wp:simplePos x="0" y="0"/>
            <wp:positionH relativeFrom="column">
              <wp:posOffset>106045</wp:posOffset>
            </wp:positionH>
            <wp:positionV relativeFrom="paragraph">
              <wp:posOffset>945515</wp:posOffset>
            </wp:positionV>
            <wp:extent cx="5274310" cy="1962150"/>
            <wp:effectExtent l="19050" t="0" r="2540" b="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6">
                      <a:extLst>
                        <a:ext uri="{28A0092B-C50C-407E-A947-70E740481C1C}">
                          <a14:useLocalDpi xmlns:a14="http://schemas.microsoft.com/office/drawing/2010/main" val="0"/>
                        </a:ext>
                      </a:extLst>
                    </a:blip>
                    <a:stretch>
                      <a:fillRect/>
                    </a:stretch>
                  </pic:blipFill>
                  <pic:spPr>
                    <a:xfrm>
                      <a:off x="0" y="0"/>
                      <a:ext cx="5274310" cy="1962150"/>
                    </a:xfrm>
                    <a:prstGeom prst="rect">
                      <a:avLst/>
                    </a:prstGeom>
                  </pic:spPr>
                </pic:pic>
              </a:graphicData>
            </a:graphic>
          </wp:anchor>
        </w:drawing>
      </w:r>
      <w:r>
        <w:rPr>
          <w:rFonts w:hint="eastAsia" w:ascii="宋体" w:hAnsi="宋体" w:cs="宋体"/>
          <w:color w:val="000000"/>
          <w:sz w:val="21"/>
          <w:szCs w:val="21"/>
          <w:lang w:val="en-US" w:eastAsia="zh-CN"/>
        </w:rPr>
        <w:t>2020</w:t>
      </w:r>
      <w:r>
        <w:rPr>
          <w:rFonts w:hint="eastAsia" w:ascii="宋体" w:hAnsi="宋体" w:eastAsia="宋体" w:cs="宋体"/>
          <w:sz w:val="21"/>
          <w:szCs w:val="21"/>
        </w:rPr>
        <w:t>年</w:t>
      </w:r>
      <w:r>
        <w:rPr>
          <w:rFonts w:hint="eastAsia" w:ascii="宋体" w:hAnsi="宋体" w:eastAsia="宋体" w:cs="宋体"/>
          <w:sz w:val="21"/>
          <w:szCs w:val="21"/>
          <w:lang w:val="en-US" w:eastAsia="zh-CN"/>
        </w:rPr>
        <w:t>春季加州大学伯克利分校访学项目</w:t>
      </w:r>
      <w:r>
        <w:rPr>
          <w:rFonts w:hint="eastAsia" w:ascii="宋体" w:hAnsi="宋体" w:eastAsia="宋体" w:cs="宋体"/>
          <w:sz w:val="21"/>
          <w:szCs w:val="21"/>
        </w:rPr>
        <w:t>，我校选拔名额为</w:t>
      </w:r>
      <w:r>
        <w:rPr>
          <w:rFonts w:hint="eastAsia" w:ascii="宋体" w:hAnsi="宋体" w:eastAsia="宋体" w:cs="宋体"/>
          <w:sz w:val="21"/>
          <w:szCs w:val="21"/>
          <w:lang w:val="en-US" w:eastAsia="zh-CN"/>
        </w:rPr>
        <w:t>3</w:t>
      </w:r>
      <w:r>
        <w:rPr>
          <w:rFonts w:hint="eastAsia" w:ascii="宋体" w:hAnsi="宋体" w:eastAsia="宋体" w:cs="宋体"/>
          <w:sz w:val="21"/>
          <w:szCs w:val="21"/>
        </w:rPr>
        <w:t>名，报名截止日期为</w:t>
      </w:r>
      <w:r>
        <w:rPr>
          <w:rFonts w:hint="eastAsia" w:ascii="宋体" w:hAnsi="宋体" w:eastAsia="宋体" w:cs="宋体"/>
          <w:color w:val="auto"/>
          <w:sz w:val="21"/>
          <w:szCs w:val="21"/>
          <w:highlight w:val="yellow"/>
        </w:rPr>
        <w:t>201</w:t>
      </w:r>
      <w:r>
        <w:rPr>
          <w:rFonts w:hint="eastAsia" w:ascii="宋体" w:hAnsi="宋体" w:eastAsia="宋体" w:cs="宋体"/>
          <w:color w:val="auto"/>
          <w:sz w:val="21"/>
          <w:szCs w:val="21"/>
          <w:highlight w:val="yellow"/>
          <w:lang w:val="en-US" w:eastAsia="zh-CN"/>
        </w:rPr>
        <w:t>9</w:t>
      </w:r>
      <w:r>
        <w:rPr>
          <w:rFonts w:hint="eastAsia" w:ascii="宋体" w:hAnsi="宋体" w:eastAsia="宋体" w:cs="宋体"/>
          <w:color w:val="auto"/>
          <w:sz w:val="21"/>
          <w:szCs w:val="21"/>
          <w:highlight w:val="yellow"/>
        </w:rPr>
        <w:t>年</w:t>
      </w:r>
      <w:r>
        <w:rPr>
          <w:rFonts w:hint="eastAsia" w:ascii="宋体" w:hAnsi="宋体" w:eastAsia="宋体" w:cs="宋体"/>
          <w:color w:val="auto"/>
          <w:sz w:val="21"/>
          <w:szCs w:val="21"/>
          <w:highlight w:val="yellow"/>
          <w:lang w:val="en-US" w:eastAsia="zh-CN"/>
        </w:rPr>
        <w:t>10</w:t>
      </w:r>
      <w:r>
        <w:rPr>
          <w:rFonts w:hint="eastAsia" w:ascii="宋体" w:hAnsi="宋体" w:eastAsia="宋体" w:cs="宋体"/>
          <w:color w:val="auto"/>
          <w:sz w:val="21"/>
          <w:szCs w:val="21"/>
          <w:highlight w:val="yellow"/>
        </w:rPr>
        <w:t>月</w:t>
      </w:r>
      <w:r>
        <w:rPr>
          <w:rFonts w:hint="eastAsia" w:ascii="宋体" w:hAnsi="宋体" w:eastAsia="宋体" w:cs="宋体"/>
          <w:color w:val="auto"/>
          <w:sz w:val="21"/>
          <w:szCs w:val="21"/>
          <w:highlight w:val="yellow"/>
          <w:lang w:val="en-US" w:eastAsia="zh-CN"/>
        </w:rPr>
        <w:t>30</w:t>
      </w:r>
      <w:r>
        <w:rPr>
          <w:rFonts w:hint="eastAsia" w:ascii="宋体" w:hAnsi="宋体" w:eastAsia="宋体" w:cs="宋体"/>
          <w:color w:val="auto"/>
          <w:sz w:val="21"/>
          <w:szCs w:val="21"/>
          <w:highlight w:val="yellow"/>
        </w:rPr>
        <w:t>日</w:t>
      </w:r>
      <w:r>
        <w:rPr>
          <w:rFonts w:hint="eastAsia" w:ascii="宋体" w:hAnsi="宋体" w:eastAsia="宋体" w:cs="宋体"/>
          <w:color w:val="000000" w:themeColor="text1"/>
          <w:sz w:val="21"/>
          <w:szCs w:val="21"/>
        </w:rPr>
        <w:t>。</w:t>
      </w:r>
      <w:r>
        <w:rPr>
          <w:rFonts w:hint="eastAsia" w:ascii="宋体" w:hAnsi="宋体" w:eastAsia="宋体" w:cs="宋体"/>
          <w:sz w:val="21"/>
          <w:szCs w:val="21"/>
          <w:shd w:val="clear" w:color="auto" w:fill="FFFFFF"/>
        </w:rPr>
        <w:t>项目将会在全国范围内启动选拔，一旦录满，即刻停止报名。</w:t>
      </w:r>
    </w:p>
    <w:p>
      <w:pPr>
        <w:widowControl/>
        <w:spacing w:line="360" w:lineRule="auto"/>
        <w:jc w:val="left"/>
        <w:rPr>
          <w:rFonts w:hint="eastAsia" w:ascii="宋体" w:hAnsi="宋体" w:eastAsia="宋体" w:cs="宋体"/>
          <w:kern w:val="0"/>
          <w:sz w:val="21"/>
          <w:szCs w:val="21"/>
        </w:rPr>
      </w:pPr>
    </w:p>
    <w:p>
      <w:pPr>
        <w:widowControl/>
        <w:spacing w:line="360" w:lineRule="auto"/>
        <w:jc w:val="left"/>
        <w:rPr>
          <w:rFonts w:hint="eastAsia" w:ascii="宋体" w:hAnsi="宋体" w:eastAsia="宋体" w:cs="宋体"/>
          <w:b/>
          <w:kern w:val="0"/>
          <w:sz w:val="21"/>
          <w:szCs w:val="21"/>
        </w:rPr>
      </w:pPr>
      <w:r>
        <w:rPr>
          <w:rFonts w:hint="eastAsia" w:ascii="宋体" w:hAnsi="宋体" w:eastAsia="宋体" w:cs="宋体"/>
          <w:kern w:val="0"/>
          <w:sz w:val="21"/>
          <w:szCs w:val="21"/>
        </w:rPr>
        <w:t xml:space="preserve">二、 </w:t>
      </w:r>
      <w:r>
        <w:rPr>
          <w:rFonts w:hint="eastAsia" w:ascii="宋体" w:hAnsi="宋体" w:eastAsia="宋体" w:cs="宋体"/>
          <w:b/>
          <w:kern w:val="0"/>
          <w:sz w:val="21"/>
          <w:szCs w:val="21"/>
        </w:rPr>
        <w:t>特色与优势</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【自带流量的顶级名校】</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全美公立大学排名第2，是加州大学系统创始校区；在2019 US News世界大学排名中仅次于哈佛大学、麻省理工和斯坦福大学位列全球第4位；</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【伯克利成绩单】</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获得加州大学伯克利分校颁发的成绩单；</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【在读学生混班上课】</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与其它在读学生一起学习专业学术课程，最大限度体验伯克利的顶级教学资源；</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【尽享校园设施与资源】</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获得加州大学伯克利分校学生证，按校方规定充分享受各类校园设施与教育资源；</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【丰富多彩的加州文化体验】</w:t>
      </w:r>
    </w:p>
    <w:p>
      <w:pPr>
        <w:pStyle w:val="17"/>
        <w:widowControl/>
        <w:numPr>
          <w:ilvl w:val="0"/>
          <w:numId w:val="0"/>
        </w:numPr>
        <w:spacing w:line="360" w:lineRule="auto"/>
        <w:ind w:left="420" w:leftChars="0"/>
        <w:jc w:val="left"/>
        <w:rPr>
          <w:rFonts w:hint="eastAsia" w:ascii="宋体" w:hAnsi="宋体" w:eastAsia="宋体" w:cs="宋体"/>
          <w:sz w:val="21"/>
          <w:szCs w:val="21"/>
        </w:rPr>
      </w:pPr>
      <w:r>
        <w:rPr>
          <w:rFonts w:hint="eastAsia" w:ascii="宋体" w:hAnsi="宋体" w:eastAsia="宋体" w:cs="宋体"/>
          <w:sz w:val="21"/>
          <w:szCs w:val="21"/>
        </w:rPr>
        <w:t>参观迪士尼乐园、海洋世界、环球影城、海滨及内陆沙漠地区、观看体育比赛等。</w:t>
      </w:r>
    </w:p>
    <w:p>
      <w:pPr>
        <w:widowControl/>
        <w:spacing w:line="360" w:lineRule="auto"/>
        <w:jc w:val="left"/>
        <w:rPr>
          <w:rFonts w:hint="eastAsia" w:ascii="宋体" w:hAnsi="宋体" w:eastAsia="宋体" w:cs="宋体"/>
          <w:b/>
          <w:kern w:val="0"/>
          <w:sz w:val="21"/>
          <w:szCs w:val="21"/>
        </w:rPr>
      </w:pPr>
    </w:p>
    <w:p>
      <w:pPr>
        <w:widowControl/>
        <w:spacing w:line="360" w:lineRule="auto"/>
        <w:jc w:val="left"/>
        <w:rPr>
          <w:rFonts w:hint="eastAsia" w:ascii="宋体" w:hAnsi="宋体" w:eastAsia="宋体" w:cs="宋体"/>
          <w:b/>
          <w:kern w:val="0"/>
          <w:sz w:val="21"/>
          <w:szCs w:val="21"/>
        </w:rPr>
      </w:pPr>
      <w:r>
        <w:rPr>
          <w:rFonts w:hint="eastAsia" w:ascii="宋体" w:hAnsi="宋体" w:eastAsia="宋体" w:cs="宋体"/>
          <w:b/>
          <w:kern w:val="0"/>
          <w:sz w:val="21"/>
          <w:szCs w:val="21"/>
        </w:rPr>
        <w:t xml:space="preserve">三、 </w:t>
      </w:r>
      <w:r>
        <w:rPr>
          <w:rFonts w:hint="eastAsia" w:ascii="宋体" w:hAnsi="宋体" w:eastAsia="宋体" w:cs="宋体"/>
          <w:b/>
          <w:bCs/>
          <w:kern w:val="0"/>
          <w:sz w:val="21"/>
          <w:szCs w:val="21"/>
        </w:rPr>
        <w:t>加州大学伯克利分校简介</w:t>
      </w:r>
    </w:p>
    <w:p>
      <w:pPr>
        <w:pStyle w:val="16"/>
        <w:widowControl/>
        <w:numPr>
          <w:ilvl w:val="0"/>
          <w:numId w:val="2"/>
        </w:numPr>
        <w:spacing w:line="360" w:lineRule="auto"/>
        <w:ind w:firstLineChars="0"/>
        <w:jc w:val="left"/>
        <w:rPr>
          <w:rFonts w:hint="eastAsia" w:ascii="宋体" w:hAnsi="宋体" w:eastAsia="宋体" w:cs="宋体"/>
          <w:color w:val="333333"/>
          <w:kern w:val="0"/>
          <w:sz w:val="21"/>
          <w:szCs w:val="21"/>
        </w:rPr>
      </w:pPr>
      <w:r>
        <w:rPr>
          <w:rFonts w:hint="eastAsia" w:ascii="宋体" w:hAnsi="宋体" w:eastAsia="宋体" w:cs="宋体"/>
          <w:color w:val="333333"/>
          <w:kern w:val="0"/>
          <w:sz w:val="21"/>
          <w:szCs w:val="21"/>
        </w:rPr>
        <w:t>创建于1868年的</w:t>
      </w:r>
      <w:r>
        <w:rPr>
          <w:rFonts w:hint="eastAsia" w:ascii="宋体" w:hAnsi="宋体" w:eastAsia="宋体" w:cs="宋体"/>
          <w:kern w:val="0"/>
          <w:sz w:val="21"/>
          <w:szCs w:val="21"/>
        </w:rPr>
        <w:t>世界级公立研究型大学，加州大学系统中十大分校之一，同时也是加州大学系统的创始校区</w:t>
      </w:r>
      <w:r>
        <w:rPr>
          <w:rFonts w:hint="eastAsia" w:ascii="宋体" w:hAnsi="宋体" w:eastAsia="宋体" w:cs="宋体"/>
          <w:color w:val="333333"/>
          <w:kern w:val="0"/>
          <w:sz w:val="21"/>
          <w:szCs w:val="21"/>
        </w:rPr>
        <w:t>；</w:t>
      </w:r>
    </w:p>
    <w:p>
      <w:pPr>
        <w:pStyle w:val="16"/>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color w:val="333333"/>
          <w:kern w:val="0"/>
          <w:sz w:val="21"/>
          <w:szCs w:val="21"/>
        </w:rPr>
        <w:t>2019年美国新闻与世界报道全美公立大学排名第2，全球大学排名第4；</w:t>
      </w:r>
      <w:r>
        <w:rPr>
          <w:rFonts w:hint="eastAsia" w:ascii="宋体" w:hAnsi="宋体" w:eastAsia="宋体" w:cs="宋体"/>
          <w:sz w:val="21"/>
          <w:szCs w:val="21"/>
        </w:rPr>
        <w:t>2019年Times高等教育世界大学综合排名第15；2018上海交通大学世界大学学术排名（ARWU）位居第5</w:t>
      </w:r>
    </w:p>
    <w:p>
      <w:pPr>
        <w:pStyle w:val="16"/>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color w:val="333333"/>
          <w:kern w:val="0"/>
          <w:sz w:val="21"/>
          <w:szCs w:val="21"/>
        </w:rPr>
        <w:t>工程学院排名全美第3，商学院排名全美第7，法学院排名全美第9，教育学院排名全美第19；</w:t>
      </w:r>
    </w:p>
    <w:p>
      <w:pPr>
        <w:pStyle w:val="16"/>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color w:val="333333"/>
          <w:kern w:val="0"/>
          <w:sz w:val="21"/>
          <w:szCs w:val="21"/>
        </w:rPr>
        <w:t>排名位居全美第1的专业包括：土木工程、环境工程、生态学、分子生物学、化学、计算机科学、经济学、心理学、社会学、知识产权法、英语等；</w:t>
      </w:r>
    </w:p>
    <w:p>
      <w:pPr>
        <w:pStyle w:val="16"/>
        <w:widowControl/>
        <w:numPr>
          <w:ilvl w:val="0"/>
          <w:numId w:val="2"/>
        </w:numPr>
        <w:spacing w:line="360" w:lineRule="auto"/>
        <w:ind w:firstLineChars="0"/>
        <w:jc w:val="left"/>
        <w:rPr>
          <w:rFonts w:hint="eastAsia" w:ascii="宋体" w:hAnsi="宋体" w:eastAsia="宋体" w:cs="宋体"/>
          <w:sz w:val="21"/>
          <w:szCs w:val="21"/>
        </w:rPr>
      </w:pPr>
      <w:r>
        <w:rPr>
          <w:rFonts w:hint="eastAsia" w:ascii="宋体" w:hAnsi="宋体" w:eastAsia="宋体" w:cs="宋体"/>
          <w:sz w:val="21"/>
          <w:szCs w:val="21"/>
        </w:rPr>
        <w:t>历届校友中共有30位诺贝尔奖得主，此外还有22位诺贝尔奖得主曾经或正在学校任教。</w:t>
      </w: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sz w:val="21"/>
          <w:szCs w:val="21"/>
        </w:rPr>
      </w:pPr>
    </w:p>
    <w:p>
      <w:pPr>
        <w:widowControl/>
        <w:spacing w:line="360" w:lineRule="auto"/>
        <w:jc w:val="left"/>
        <w:rPr>
          <w:rFonts w:hint="eastAsia" w:ascii="宋体" w:hAnsi="宋体" w:eastAsia="宋体" w:cs="宋体"/>
          <w:b/>
          <w:sz w:val="21"/>
          <w:szCs w:val="21"/>
        </w:rPr>
      </w:pPr>
      <w:r>
        <w:rPr>
          <w:rFonts w:hint="eastAsia" w:ascii="宋体" w:hAnsi="宋体" w:eastAsia="宋体" w:cs="宋体"/>
          <w:b/>
          <w:sz w:val="21"/>
          <w:szCs w:val="21"/>
        </w:rPr>
        <w:t>四、 项目详情</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课程日期</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b w:val="0"/>
          <w:bCs/>
          <w:sz w:val="21"/>
          <w:szCs w:val="21"/>
        </w:rPr>
      </w:pPr>
      <w:r>
        <w:rPr>
          <w:rFonts w:hint="eastAsia" w:ascii="宋体" w:hAnsi="宋体" w:eastAsia="宋体" w:cs="宋体"/>
          <w:b w:val="0"/>
          <w:bCs/>
          <w:sz w:val="21"/>
          <w:szCs w:val="21"/>
        </w:rPr>
        <w:t>2020年1月16日- 5月15日</w:t>
      </w:r>
    </w:p>
    <w:p>
      <w:pPr>
        <w:spacing w:line="360" w:lineRule="auto"/>
        <w:rPr>
          <w:rFonts w:hint="eastAsia" w:ascii="宋体" w:hAnsi="宋体" w:eastAsia="宋体" w:cs="宋体"/>
          <w:b/>
          <w:bCs/>
          <w:kern w:val="0"/>
          <w:sz w:val="21"/>
          <w:szCs w:val="21"/>
        </w:rPr>
      </w:pPr>
      <w:r>
        <w:rPr>
          <w:rFonts w:hint="eastAsia" w:ascii="宋体" w:hAnsi="宋体" w:eastAsia="宋体" w:cs="宋体"/>
          <w:sz w:val="21"/>
          <w:szCs w:val="21"/>
        </w:rPr>
        <w:t>【</w:t>
      </w:r>
      <w:r>
        <w:rPr>
          <w:rFonts w:hint="eastAsia" w:ascii="宋体" w:hAnsi="宋体" w:eastAsia="宋体" w:cs="宋体"/>
          <w:b/>
          <w:sz w:val="21"/>
          <w:szCs w:val="21"/>
        </w:rPr>
        <w:t>课程内容</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加州大学伯克利分校的学期访学项目“Berkeley Global Access Program”项目（BGA）为期约4个月，共分为以下几种不同类型：</w:t>
      </w:r>
    </w:p>
    <w:p>
      <w:pPr>
        <w:spacing w:line="360" w:lineRule="auto"/>
        <w:rPr>
          <w:rFonts w:hint="eastAsia" w:ascii="宋体" w:hAnsi="宋体" w:eastAsia="宋体" w:cs="宋体"/>
          <w:sz w:val="21"/>
          <w:szCs w:val="21"/>
        </w:rPr>
      </w:pPr>
      <w:r>
        <w:rPr>
          <w:rFonts w:hint="eastAsia" w:ascii="宋体" w:hAnsi="宋体" w:eastAsia="宋体" w:cs="宋体"/>
          <w:b/>
          <w:sz w:val="21"/>
          <w:szCs w:val="21"/>
        </w:rPr>
        <w:t>1）学期学分课程（BGA Discover Program）</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英语标准化成绩达到要求的学生，可根据自身的专业与兴趣选择相应的专业学分课程，可选范围覆盖大多数学科领域，如艺术与人文、工程、数理科学、社会科学、语言等。学生需在一个学期中修读总计12至18个学分的课程，其中至少有2个学分必须选修UC Berkeley Extension的课程（既可以是语言课，也可以是专业课）。通常情况下，学生会选择3至4门UC Berkeley主校区的课程，外加1至2门UC Berkeley Extension的课程。如果是选修研究生级别的课程，则需提前征得授课教师与项目总监的批准，并达到课程所要求的先决条件。</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查询详细课程信息及预订情况，可参照校方：</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"http://classes.berkeley.edu/"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http://classes.berkeley.edu/</w:t>
      </w:r>
      <w:r>
        <w:rPr>
          <w:rStyle w:val="12"/>
          <w:rFonts w:hint="eastAsia" w:ascii="宋体" w:hAnsi="宋体" w:eastAsia="宋体" w:cs="宋体"/>
          <w:sz w:val="21"/>
          <w:szCs w:val="21"/>
        </w:rPr>
        <w:fldChar w:fldCharType="end"/>
      </w:r>
    </w:p>
    <w:p>
      <w:pPr>
        <w:pStyle w:val="16"/>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b/>
          <w:sz w:val="21"/>
          <w:szCs w:val="21"/>
        </w:rPr>
        <w:t>伯克利哈斯商学院学期学分课程 - 创业方向</w:t>
      </w:r>
      <w:r>
        <w:rPr>
          <w:rFonts w:hint="eastAsia" w:ascii="宋体" w:hAnsi="宋体" w:eastAsia="宋体" w:cs="宋体"/>
          <w:sz w:val="21"/>
          <w:szCs w:val="21"/>
        </w:rPr>
        <w:br w:type="textWrapping"/>
      </w:r>
      <w:r>
        <w:rPr>
          <w:rFonts w:hint="eastAsia" w:ascii="宋体" w:hAnsi="宋体" w:eastAsia="宋体" w:cs="宋体"/>
          <w:sz w:val="21"/>
          <w:szCs w:val="21"/>
        </w:rPr>
        <w:t>本项目由全美排名第七的加州大学伯克利分校哈斯商学院（</w:t>
      </w:r>
      <w:r>
        <w:rPr>
          <w:rFonts w:hint="eastAsia" w:ascii="宋体" w:hAnsi="宋体" w:eastAsia="宋体" w:cs="宋体"/>
          <w:color w:val="333333"/>
          <w:sz w:val="21"/>
          <w:szCs w:val="21"/>
          <w:shd w:val="clear" w:color="auto" w:fill="FFFFFF"/>
        </w:rPr>
        <w:t>Haas School of Business</w:t>
      </w:r>
      <w:r>
        <w:rPr>
          <w:rFonts w:hint="eastAsia" w:ascii="宋体" w:hAnsi="宋体" w:eastAsia="宋体" w:cs="宋体"/>
          <w:sz w:val="21"/>
          <w:szCs w:val="21"/>
        </w:rPr>
        <w:t>）</w:t>
      </w:r>
    </w:p>
    <w:p>
      <w:pPr>
        <w:pStyle w:val="16"/>
        <w:spacing w:line="360" w:lineRule="auto"/>
        <w:ind w:firstLine="0" w:firstLineChars="0"/>
        <w:rPr>
          <w:rFonts w:hint="eastAsia" w:ascii="宋体" w:hAnsi="宋体" w:eastAsia="宋体" w:cs="宋体"/>
          <w:b/>
          <w:sz w:val="21"/>
          <w:szCs w:val="21"/>
        </w:rPr>
      </w:pPr>
      <w:r>
        <w:rPr>
          <w:rFonts w:hint="eastAsia" w:ascii="宋体" w:hAnsi="宋体" w:eastAsia="宋体" w:cs="宋体"/>
          <w:sz w:val="21"/>
          <w:szCs w:val="21"/>
        </w:rPr>
        <w:t>参与设计，充分利用哈斯商学院顶级的师资、课程与网络，以及旧金山湾区及硅谷的创新商业生态体系，为学生提供独特的学习体验。商科或非商科背景的学生都可以参加，在一学期中将修读9至11学分的哈斯商学院课程，以及3学分的其它加州大学伯克利分校课程。哈斯商学院的主课包括设计思维基础、新兴技术的创新战略以及学术与职业成就，选修课则涉及财务工程、高科技营销管理、如何领导人、定价策略、创业入门、人工智能商业、区块链与技术的未来、商务与法律等内容。</w:t>
      </w:r>
    </w:p>
    <w:p>
      <w:pPr>
        <w:pStyle w:val="16"/>
        <w:numPr>
          <w:ilvl w:val="0"/>
          <w:numId w:val="3"/>
        </w:numPr>
        <w:spacing w:line="360" w:lineRule="auto"/>
        <w:ind w:firstLineChars="0"/>
        <w:rPr>
          <w:rFonts w:hint="eastAsia" w:ascii="宋体" w:hAnsi="宋体" w:eastAsia="宋体" w:cs="宋体"/>
          <w:sz w:val="21"/>
          <w:szCs w:val="21"/>
        </w:rPr>
      </w:pPr>
      <w:r>
        <w:rPr>
          <w:rFonts w:hint="eastAsia" w:ascii="宋体" w:hAnsi="宋体" w:eastAsia="宋体" w:cs="宋体"/>
          <w:b/>
          <w:sz w:val="21"/>
          <w:szCs w:val="21"/>
        </w:rPr>
        <w:t>伯克利环境设计学院学期学分课程 - 环境设计方向</w:t>
      </w:r>
    </w:p>
    <w:p>
      <w:pPr>
        <w:pStyle w:val="16"/>
        <w:spacing w:line="360" w:lineRule="auto"/>
        <w:ind w:left="360" w:firstLine="0" w:firstLineChars="0"/>
        <w:rPr>
          <w:rFonts w:hint="eastAsia" w:ascii="宋体" w:hAnsi="宋体" w:eastAsia="宋体" w:cs="宋体"/>
          <w:sz w:val="21"/>
          <w:szCs w:val="21"/>
        </w:rPr>
      </w:pPr>
      <w:r>
        <w:rPr>
          <w:rFonts w:hint="eastAsia" w:ascii="宋体" w:hAnsi="宋体" w:eastAsia="宋体" w:cs="宋体"/>
          <w:sz w:val="21"/>
          <w:szCs w:val="21"/>
        </w:rPr>
        <w:t xml:space="preserve">本项目由加州大学伯克利分校的环境设计学院（Berkeley College of Environmental </w:t>
      </w:r>
    </w:p>
    <w:p>
      <w:pPr>
        <w:spacing w:line="360" w:lineRule="auto"/>
        <w:rPr>
          <w:rFonts w:hint="eastAsia" w:ascii="宋体" w:hAnsi="宋体" w:eastAsia="宋体" w:cs="宋体"/>
          <w:sz w:val="21"/>
          <w:szCs w:val="21"/>
        </w:rPr>
      </w:pPr>
      <w:r>
        <w:rPr>
          <w:rFonts w:hint="eastAsia" w:ascii="宋体" w:hAnsi="宋体" w:eastAsia="宋体" w:cs="宋体"/>
          <w:sz w:val="21"/>
          <w:szCs w:val="21"/>
        </w:rPr>
        <w:t>Design）参与设计，该学院的项目在全美公立大学中排名第一。项目旨在培养可持续性环境设计领域的创新家与思想领袖，主要针对设计专业的学生以及对环境建设感兴趣的学生。学生在一个学期中需要选修4门课程（12至15学分），课程的四个重点方向包括建筑、景观设计、城市规划与研究、以及可持续性环境设计。设计专业的学生将有机会进入综合设计工作室学习，所有学生都将参与丰富多彩的实地参观与活动。</w:t>
      </w:r>
    </w:p>
    <w:p>
      <w:pPr>
        <w:pStyle w:val="16"/>
        <w:numPr>
          <w:ilvl w:val="0"/>
          <w:numId w:val="3"/>
        </w:numPr>
        <w:spacing w:line="360" w:lineRule="auto"/>
        <w:ind w:left="426" w:hanging="426" w:firstLineChars="0"/>
        <w:rPr>
          <w:rFonts w:hint="eastAsia" w:ascii="宋体" w:hAnsi="宋体" w:eastAsia="宋体" w:cs="宋体"/>
          <w:sz w:val="21"/>
          <w:szCs w:val="21"/>
        </w:rPr>
      </w:pPr>
      <w:r>
        <w:rPr>
          <w:rFonts w:hint="eastAsia" w:ascii="宋体" w:hAnsi="宋体" w:eastAsia="宋体" w:cs="宋体"/>
          <w:b/>
          <w:sz w:val="21"/>
          <w:szCs w:val="21"/>
        </w:rPr>
        <w:t>伯克利法学院学期学分课程 -法律研究方向</w:t>
      </w:r>
    </w:p>
    <w:p>
      <w:pPr>
        <w:pStyle w:val="16"/>
        <w:spacing w:line="360" w:lineRule="auto"/>
        <w:ind w:left="426" w:firstLine="0" w:firstLineChars="0"/>
        <w:rPr>
          <w:rFonts w:hint="eastAsia" w:ascii="宋体" w:hAnsi="宋体" w:eastAsia="宋体" w:cs="宋体"/>
          <w:sz w:val="21"/>
          <w:szCs w:val="21"/>
        </w:rPr>
      </w:pPr>
      <w:r>
        <w:rPr>
          <w:rFonts w:hint="eastAsia" w:ascii="宋体" w:hAnsi="宋体" w:eastAsia="宋体" w:cs="宋体"/>
          <w:sz w:val="21"/>
          <w:szCs w:val="21"/>
        </w:rPr>
        <w:t>本项目由全美排名第12的加州大学伯克利分校法学院参与设计，旨在帮助学生通过参</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加课程，学习在快速变化的全球化世界如何成为未来的法律创新者。学生在一个学期中，将修读两门共8学分的核心课程，一门4学分的选修课程，以及一门1学分的关于如何在加州大学伯克利分校取得学术成功的通识类课程。两门核心课程分别是美国法律与法律机构，以及法律、技术与创业。选修课则涉及商法、宪法、刑法、移民法、知识产权法、国际法等，学生将从经济学、历史、哲学、政治学、心理学与社会学的不同角度来探索法律的广泛影响。</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drawing>
          <wp:anchor distT="0" distB="0" distL="114300" distR="114300" simplePos="0" relativeHeight="251667456" behindDoc="0" locked="0" layoutInCell="1" allowOverlap="1">
            <wp:simplePos x="0" y="0"/>
            <wp:positionH relativeFrom="column">
              <wp:posOffset>0</wp:posOffset>
            </wp:positionH>
            <wp:positionV relativeFrom="paragraph">
              <wp:posOffset>297815</wp:posOffset>
            </wp:positionV>
            <wp:extent cx="5274310" cy="1544955"/>
            <wp:effectExtent l="0" t="0" r="2540" b="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5274310" cy="1544955"/>
                    </a:xfrm>
                    <a:prstGeom prst="rect">
                      <a:avLst/>
                    </a:prstGeom>
                  </pic:spPr>
                </pic:pic>
              </a:graphicData>
            </a:graphic>
          </wp:anchor>
        </w:drawing>
      </w:r>
    </w:p>
    <w:p>
      <w:pPr>
        <w:spacing w:line="360" w:lineRule="auto"/>
        <w:ind w:firstLine="420" w:firstLineChars="200"/>
        <w:rPr>
          <w:rFonts w:hint="eastAsia" w:ascii="宋体" w:hAnsi="宋体" w:eastAsia="宋体" w:cs="宋体"/>
          <w:sz w:val="21"/>
          <w:szCs w:val="21"/>
        </w:rPr>
      </w:pP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以上不同方向的课程内容仅供参考，2020年春季的具体课程安排，以校方最终公布的信息为准。</w:t>
      </w:r>
    </w:p>
    <w:p>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所有参加项目的学生均可获得加州大学伯克利分校正式注册的学生证，凭借学生证可在项目期内，按校方规定使用学校的校园设施与教育资源，包括图书馆、健身房、活动中心等。</w:t>
      </w:r>
    </w:p>
    <w:p>
      <w:pPr>
        <w:spacing w:line="360" w:lineRule="auto"/>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sz w:val="21"/>
          <w:szCs w:val="21"/>
        </w:rPr>
        <w:t>项目证书</w:t>
      </w:r>
      <w:r>
        <w:rPr>
          <w:rFonts w:hint="eastAsia" w:ascii="宋体" w:hAnsi="宋体" w:eastAsia="宋体" w:cs="宋体"/>
          <w:sz w:val="21"/>
          <w:szCs w:val="21"/>
        </w:rPr>
        <w:t>】</w:t>
      </w:r>
    </w:p>
    <w:p>
      <w:pPr>
        <w:widowControl/>
        <w:spacing w:line="360" w:lineRule="auto"/>
        <w:ind w:firstLine="420" w:firstLineChars="200"/>
        <w:jc w:val="left"/>
        <w:rPr>
          <w:rFonts w:hint="eastAsia" w:ascii="宋体" w:hAnsi="宋体" w:eastAsia="宋体" w:cs="宋体"/>
          <w:sz w:val="21"/>
          <w:szCs w:val="21"/>
        </w:rPr>
      </w:pPr>
      <w:r>
        <w:rPr>
          <w:rFonts w:hint="eastAsia" w:ascii="宋体" w:hAnsi="宋体" w:eastAsia="宋体" w:cs="宋体"/>
          <w:sz w:val="21"/>
          <w:szCs w:val="21"/>
        </w:rPr>
        <w:t>参加项目的学生由加州大学伯克利分校进行统一的学术管理与学术考核，顺利完成课程后可获得正式的成绩单。</w:t>
      </w:r>
    </w:p>
    <w:p>
      <w:pPr>
        <w:widowControl/>
        <w:spacing w:line="360" w:lineRule="auto"/>
        <w:jc w:val="left"/>
        <w:rPr>
          <w:rFonts w:hint="eastAsia" w:ascii="宋体" w:hAnsi="宋体" w:eastAsia="宋体" w:cs="宋体"/>
          <w:sz w:val="21"/>
          <w:szCs w:val="21"/>
        </w:rPr>
      </w:pPr>
      <w:r>
        <w:rPr>
          <w:rFonts w:hint="eastAsia" w:ascii="宋体" w:hAnsi="宋体" w:eastAsia="宋体" w:cs="宋体"/>
          <w:sz w:val="21"/>
          <w:szCs w:val="21"/>
        </w:rPr>
        <w:t>【</w:t>
      </w:r>
      <w:r>
        <w:rPr>
          <w:rFonts w:hint="eastAsia" w:ascii="宋体" w:hAnsi="宋体" w:eastAsia="宋体" w:cs="宋体"/>
          <w:b/>
          <w:bCs/>
          <w:kern w:val="0"/>
          <w:sz w:val="21"/>
          <w:szCs w:val="21"/>
        </w:rPr>
        <w:t>项目费用</w:t>
      </w:r>
      <w:r>
        <w:rPr>
          <w:rFonts w:hint="eastAsia" w:ascii="宋体" w:hAnsi="宋体" w:eastAsia="宋体" w:cs="宋体"/>
          <w:sz w:val="21"/>
          <w:szCs w:val="21"/>
        </w:rPr>
        <w:t>】</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2"/>
        <w:gridCol w:w="65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71" w:hRule="atLeast"/>
        </w:trPr>
        <w:tc>
          <w:tcPr>
            <w:tcW w:w="1952" w:type="dxa"/>
            <w:vMerge w:val="restart"/>
          </w:tcPr>
          <w:p>
            <w:pPr>
              <w:spacing w:line="360" w:lineRule="auto"/>
              <w:rPr>
                <w:rFonts w:hint="eastAsia" w:ascii="宋体" w:hAnsi="宋体" w:eastAsia="宋体" w:cs="宋体"/>
                <w:sz w:val="21"/>
                <w:szCs w:val="21"/>
              </w:rPr>
            </w:pPr>
            <w:r>
              <w:rPr>
                <w:rFonts w:hint="eastAsia" w:ascii="宋体" w:hAnsi="宋体" w:eastAsia="宋体" w:cs="宋体"/>
                <w:sz w:val="21"/>
                <w:szCs w:val="21"/>
              </w:rPr>
              <w:t>项目总费用</w:t>
            </w:r>
          </w:p>
        </w:tc>
        <w:tc>
          <w:tcPr>
            <w:tcW w:w="657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学期学分课程：约16,250-21,550美元（约合人民币11.2-14.9万元，实际费用因学生选课不同存在差异）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1952" w:type="dxa"/>
            <w:vMerge w:val="continue"/>
          </w:tcPr>
          <w:p>
            <w:pPr>
              <w:spacing w:line="360" w:lineRule="auto"/>
              <w:rPr>
                <w:rFonts w:hint="eastAsia" w:ascii="宋体" w:hAnsi="宋体" w:eastAsia="宋体" w:cs="宋体"/>
                <w:sz w:val="21"/>
                <w:szCs w:val="21"/>
              </w:rPr>
            </w:pPr>
          </w:p>
        </w:tc>
        <w:tc>
          <w:tcPr>
            <w:tcW w:w="657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哈斯商学院创业课程：约21,750美元（约合人民币15万元）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1952" w:type="dxa"/>
            <w:vMerge w:val="continue"/>
          </w:tcPr>
          <w:p>
            <w:pPr>
              <w:spacing w:line="360" w:lineRule="auto"/>
              <w:rPr>
                <w:rFonts w:hint="eastAsia" w:ascii="宋体" w:hAnsi="宋体" w:eastAsia="宋体" w:cs="宋体"/>
                <w:sz w:val="21"/>
                <w:szCs w:val="21"/>
              </w:rPr>
            </w:pPr>
          </w:p>
        </w:tc>
        <w:tc>
          <w:tcPr>
            <w:tcW w:w="657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环境设计学院环境设计课程：约21,350美元（约合人民币14.7万元）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8" w:hRule="atLeast"/>
        </w:trPr>
        <w:tc>
          <w:tcPr>
            <w:tcW w:w="1952" w:type="dxa"/>
            <w:vMerge w:val="continue"/>
          </w:tcPr>
          <w:p>
            <w:pPr>
              <w:spacing w:line="360" w:lineRule="auto"/>
              <w:rPr>
                <w:rFonts w:hint="eastAsia" w:ascii="宋体" w:hAnsi="宋体" w:eastAsia="宋体" w:cs="宋体"/>
                <w:sz w:val="21"/>
                <w:szCs w:val="21"/>
              </w:rPr>
            </w:pPr>
          </w:p>
        </w:tc>
        <w:tc>
          <w:tcPr>
            <w:tcW w:w="657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法学院法律研究课程：约21,750美元（约合人民币15万元）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2"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费用包括：</w:t>
            </w:r>
          </w:p>
        </w:tc>
        <w:tc>
          <w:tcPr>
            <w:tcW w:w="657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申请费、学费、杂费、国际学生服务费、医疗保险、学业支持费用、成绩单、及项目设计与管理费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52"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费用不包括：</w:t>
            </w:r>
          </w:p>
        </w:tc>
        <w:tc>
          <w:tcPr>
            <w:tcW w:w="6570" w:type="dxa"/>
          </w:tcPr>
          <w:p>
            <w:pPr>
              <w:spacing w:line="360" w:lineRule="auto"/>
              <w:rPr>
                <w:rFonts w:hint="eastAsia" w:ascii="宋体" w:hAnsi="宋体" w:eastAsia="宋体" w:cs="宋体"/>
                <w:sz w:val="21"/>
                <w:szCs w:val="21"/>
              </w:rPr>
            </w:pPr>
            <w:r>
              <w:rPr>
                <w:rFonts w:hint="eastAsia" w:ascii="宋体" w:hAnsi="宋体" w:eastAsia="宋体" w:cs="宋体"/>
                <w:sz w:val="21"/>
                <w:szCs w:val="21"/>
              </w:rPr>
              <w:t>国际机票、签证费、住宿费与餐费、以及其它个人花费</w:t>
            </w:r>
          </w:p>
        </w:tc>
      </w:tr>
    </w:tbl>
    <w:p>
      <w:pPr>
        <w:widowControl/>
        <w:spacing w:line="360" w:lineRule="auto"/>
        <w:jc w:val="left"/>
        <w:rPr>
          <w:rFonts w:hint="eastAsia" w:ascii="宋体" w:hAnsi="宋体" w:eastAsia="宋体" w:cs="宋体"/>
          <w:kern w:val="0"/>
          <w:sz w:val="21"/>
          <w:szCs w:val="21"/>
        </w:rPr>
      </w:pPr>
    </w:p>
    <w:p>
      <w:pPr>
        <w:spacing w:line="360" w:lineRule="auto"/>
        <w:rPr>
          <w:rFonts w:hint="eastAsia" w:ascii="宋体" w:hAnsi="宋体" w:eastAsia="宋体" w:cs="宋体"/>
          <w:b/>
          <w:kern w:val="0"/>
          <w:sz w:val="21"/>
          <w:szCs w:val="21"/>
        </w:rPr>
      </w:pPr>
      <w:r>
        <w:rPr>
          <w:rFonts w:hint="eastAsia" w:ascii="宋体" w:hAnsi="宋体" w:eastAsia="宋体" w:cs="宋体"/>
          <w:b/>
          <w:bCs/>
          <w:kern w:val="0"/>
          <w:sz w:val="21"/>
          <w:szCs w:val="21"/>
        </w:rPr>
        <w:t>五、 项目申请</w:t>
      </w:r>
    </w:p>
    <w:p>
      <w:pPr>
        <w:pStyle w:val="16"/>
        <w:numPr>
          <w:ilvl w:val="0"/>
          <w:numId w:val="4"/>
        </w:numPr>
        <w:spacing w:line="360" w:lineRule="auto"/>
        <w:ind w:firstLineChars="0"/>
        <w:rPr>
          <w:rFonts w:hint="eastAsia" w:ascii="宋体" w:hAnsi="宋体" w:eastAsia="宋体" w:cs="宋体"/>
          <w:b/>
          <w:kern w:val="0"/>
          <w:sz w:val="21"/>
          <w:szCs w:val="21"/>
        </w:rPr>
      </w:pPr>
      <w:r>
        <w:rPr>
          <w:rFonts w:hint="eastAsia" w:ascii="宋体" w:hAnsi="宋体" w:eastAsia="宋体" w:cs="宋体"/>
          <w:b/>
          <w:kern w:val="0"/>
          <w:sz w:val="21"/>
          <w:szCs w:val="21"/>
        </w:rPr>
        <w:t>选拔要求</w:t>
      </w:r>
    </w:p>
    <w:p>
      <w:pPr>
        <w:pStyle w:val="16"/>
        <w:numPr>
          <w:ilvl w:val="0"/>
          <w:numId w:val="5"/>
        </w:numPr>
        <w:spacing w:line="360" w:lineRule="auto"/>
        <w:ind w:left="425" w:leftChars="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仅限本校全日制在校生；且成绩优异、道德品质好，在校期间未受过纪律处分，身</w:t>
      </w:r>
    </w:p>
    <w:p>
      <w:pPr>
        <w:pStyle w:val="16"/>
        <w:numPr>
          <w:ilvl w:val="0"/>
          <w:numId w:val="0"/>
        </w:numPr>
        <w:spacing w:line="360" w:lineRule="auto"/>
        <w:ind w:leftChars="0" w:firstLine="420" w:firstLineChars="200"/>
        <w:rPr>
          <w:rFonts w:hint="eastAsia" w:ascii="宋体" w:hAnsi="宋体" w:eastAsia="宋体" w:cs="宋体"/>
          <w:b w:val="0"/>
          <w:bCs w:val="0"/>
          <w:sz w:val="21"/>
          <w:szCs w:val="21"/>
        </w:rPr>
      </w:pPr>
      <w:r>
        <w:rPr>
          <w:rFonts w:hint="eastAsia" w:ascii="宋体" w:hAnsi="宋体" w:eastAsia="宋体" w:cs="宋体"/>
          <w:b w:val="0"/>
          <w:bCs w:val="0"/>
          <w:sz w:val="21"/>
          <w:szCs w:val="21"/>
        </w:rPr>
        <w:t>心健康，能顺利完成海外学习任务；</w:t>
      </w:r>
    </w:p>
    <w:p>
      <w:pPr>
        <w:pStyle w:val="16"/>
        <w:numPr>
          <w:ilvl w:val="0"/>
          <w:numId w:val="5"/>
        </w:numPr>
        <w:spacing w:line="360" w:lineRule="auto"/>
        <w:ind w:left="425" w:leftChars="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年龄：学生开课时需已满18岁</w:t>
      </w:r>
      <w:r>
        <w:rPr>
          <w:rFonts w:hint="eastAsia" w:ascii="宋体" w:hAnsi="宋体" w:cs="宋体"/>
          <w:b w:val="0"/>
          <w:bCs w:val="0"/>
          <w:sz w:val="21"/>
          <w:szCs w:val="21"/>
          <w:lang w:eastAsia="zh-CN"/>
        </w:rPr>
        <w:t>；</w:t>
      </w:r>
    </w:p>
    <w:p>
      <w:pPr>
        <w:pStyle w:val="16"/>
        <w:numPr>
          <w:ilvl w:val="0"/>
          <w:numId w:val="5"/>
        </w:numPr>
        <w:spacing w:line="360" w:lineRule="auto"/>
        <w:ind w:left="425" w:leftChars="0" w:hanging="425" w:firstLineChars="0"/>
        <w:rPr>
          <w:rFonts w:hint="eastAsia" w:ascii="宋体" w:hAnsi="宋体" w:eastAsia="宋体" w:cs="宋体"/>
          <w:b w:val="0"/>
          <w:bCs w:val="0"/>
          <w:sz w:val="21"/>
          <w:szCs w:val="21"/>
        </w:rPr>
      </w:pPr>
      <w:r>
        <w:rPr>
          <w:rFonts w:hint="eastAsia" w:ascii="宋体" w:hAnsi="宋体" w:eastAsia="宋体" w:cs="宋体"/>
          <w:b w:val="0"/>
          <w:bCs w:val="0"/>
          <w:sz w:val="21"/>
          <w:szCs w:val="21"/>
        </w:rPr>
        <w:t>语言要求：英语水平需达到托福90，或雅思7；</w:t>
      </w:r>
    </w:p>
    <w:p>
      <w:pPr>
        <w:pStyle w:val="16"/>
        <w:numPr>
          <w:ilvl w:val="0"/>
          <w:numId w:val="5"/>
        </w:numPr>
        <w:spacing w:line="360" w:lineRule="auto"/>
        <w:ind w:left="425" w:leftChars="0" w:hanging="425" w:firstLineChars="0"/>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学术要求：GPA 3.0，申请哈斯商学院与法学院课程必须已完成大二课程；</w:t>
      </w:r>
      <w:r>
        <w:rPr>
          <w:rFonts w:hint="eastAsia" w:ascii="宋体" w:hAnsi="宋体" w:eastAsia="宋体" w:cs="宋体"/>
          <w:b w:val="0"/>
          <w:bCs w:val="0"/>
          <w:sz w:val="21"/>
          <w:szCs w:val="21"/>
        </w:rPr>
        <w:br w:type="textWrapping"/>
      </w:r>
      <w:r>
        <w:rPr>
          <w:rFonts w:hint="eastAsia" w:ascii="宋体" w:hAnsi="宋体" w:eastAsia="宋体" w:cs="宋体"/>
          <w:b w:val="0"/>
          <w:bCs w:val="0"/>
          <w:sz w:val="21"/>
          <w:szCs w:val="21"/>
        </w:rPr>
        <w:t>注：如学生</w:t>
      </w:r>
      <w:bookmarkStart w:id="0" w:name="_GoBack"/>
      <w:bookmarkEnd w:id="0"/>
      <w:r>
        <w:rPr>
          <w:rFonts w:hint="eastAsia" w:ascii="宋体" w:hAnsi="宋体" w:eastAsia="宋体" w:cs="宋体"/>
          <w:b w:val="0"/>
          <w:bCs w:val="0"/>
          <w:sz w:val="21"/>
          <w:szCs w:val="21"/>
        </w:rPr>
        <w:t>英语成绩达到托福85-89分、或雅思6.5分、或大学英语四级550分、或大学英语六级520分，可另外补充提交一份大学老师的英文推荐信，证明其学术英语水平，在获得加州大学伯克利分校国际项目部面试机会并通过面试后，方可获得项目录取；</w:t>
      </w:r>
    </w:p>
    <w:p>
      <w:pPr>
        <w:pStyle w:val="16"/>
        <w:numPr>
          <w:ilvl w:val="0"/>
          <w:numId w:val="5"/>
        </w:numPr>
        <w:spacing w:line="360" w:lineRule="auto"/>
        <w:ind w:left="425" w:leftChars="0" w:hanging="425" w:firstLineChars="0"/>
        <w:rPr>
          <w:rFonts w:hint="eastAsia" w:ascii="宋体" w:hAnsi="宋体" w:eastAsia="宋体" w:cs="宋体"/>
          <w:b w:val="0"/>
          <w:bCs w:val="0"/>
          <w:kern w:val="0"/>
          <w:sz w:val="21"/>
          <w:szCs w:val="21"/>
        </w:rPr>
      </w:pPr>
      <w:r>
        <w:rPr>
          <w:rFonts w:hint="eastAsia" w:ascii="宋体" w:hAnsi="宋体" w:eastAsia="宋体" w:cs="宋体"/>
          <w:b w:val="0"/>
          <w:bCs w:val="0"/>
          <w:sz w:val="21"/>
          <w:szCs w:val="21"/>
        </w:rPr>
        <w:t>家庭具有一定经济基础，能够提供访学所需学费及生活费；</w:t>
      </w:r>
    </w:p>
    <w:p>
      <w:pPr>
        <w:pStyle w:val="16"/>
        <w:numPr>
          <w:ilvl w:val="0"/>
          <w:numId w:val="5"/>
        </w:numPr>
        <w:spacing w:line="360" w:lineRule="auto"/>
        <w:ind w:left="425" w:leftChars="0" w:hanging="425" w:firstLineChars="0"/>
        <w:rPr>
          <w:rFonts w:hint="eastAsia" w:ascii="宋体" w:hAnsi="宋体" w:eastAsia="宋体" w:cs="宋体"/>
          <w:b w:val="0"/>
          <w:bCs w:val="0"/>
          <w:kern w:val="0"/>
          <w:sz w:val="21"/>
          <w:szCs w:val="21"/>
        </w:rPr>
      </w:pPr>
      <w:r>
        <w:rPr>
          <w:rFonts w:hint="eastAsia" w:ascii="宋体" w:hAnsi="宋体" w:eastAsia="宋体" w:cs="宋体"/>
          <w:b w:val="0"/>
          <w:bCs w:val="0"/>
          <w:sz w:val="21"/>
          <w:szCs w:val="21"/>
        </w:rPr>
        <w:t>通过全美国际教育协会的项目面试、美方大学的学术审核、以及我校院系及国际交流处的派出资格审核。</w:t>
      </w:r>
    </w:p>
    <w:p>
      <w:pPr>
        <w:pStyle w:val="16"/>
        <w:numPr>
          <w:ilvl w:val="0"/>
          <w:numId w:val="0"/>
        </w:numPr>
        <w:spacing w:line="360" w:lineRule="auto"/>
        <w:rPr>
          <w:rFonts w:hint="eastAsia" w:ascii="宋体" w:hAnsi="宋体" w:eastAsia="宋体" w:cs="宋体"/>
          <w:b/>
          <w:kern w:val="0"/>
          <w:sz w:val="21"/>
          <w:szCs w:val="21"/>
        </w:rPr>
      </w:pPr>
      <w:r>
        <w:rPr>
          <w:rFonts w:hint="eastAsia" w:ascii="宋体" w:hAnsi="宋体" w:cs="宋体"/>
          <w:b/>
          <w:kern w:val="0"/>
          <w:sz w:val="21"/>
          <w:szCs w:val="21"/>
          <w:lang w:val="en-US" w:eastAsia="zh-CN"/>
        </w:rPr>
        <w:t>2、</w:t>
      </w:r>
      <w:r>
        <w:rPr>
          <w:rFonts w:hint="eastAsia" w:ascii="宋体" w:hAnsi="宋体" w:eastAsia="宋体" w:cs="宋体"/>
          <w:b/>
          <w:kern w:val="0"/>
          <w:sz w:val="21"/>
          <w:szCs w:val="21"/>
        </w:rPr>
        <w:t>项目申请录取方式和报名流程</w:t>
      </w:r>
    </w:p>
    <w:p>
      <w:pPr>
        <w:pStyle w:val="16"/>
        <w:numPr>
          <w:ilvl w:val="0"/>
          <w:numId w:val="6"/>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kern w:val="0"/>
          <w:sz w:val="21"/>
          <w:szCs w:val="21"/>
        </w:rPr>
        <w:t>学生本人提出申请，在学校国际合作交流处（外事处）报名；</w:t>
      </w:r>
    </w:p>
    <w:p>
      <w:pPr>
        <w:pStyle w:val="16"/>
        <w:numPr>
          <w:ilvl w:val="0"/>
          <w:numId w:val="6"/>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sz w:val="21"/>
          <w:szCs w:val="21"/>
        </w:rPr>
        <w:t>同时登录项目选拔管理机构 -- 全美国际教育协会网站</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www.usiea.org</w:t>
      </w:r>
      <w:r>
        <w:rPr>
          <w:rStyle w:val="12"/>
          <w:rFonts w:hint="eastAsia" w:ascii="宋体" w:hAnsi="宋体" w:eastAsia="宋体" w:cs="宋体"/>
          <w:sz w:val="21"/>
          <w:szCs w:val="21"/>
        </w:rPr>
        <w:fldChar w:fldCharType="end"/>
      </w:r>
      <w:r>
        <w:rPr>
          <w:rFonts w:hint="eastAsia" w:ascii="宋体" w:hAnsi="宋体" w:eastAsia="宋体" w:cs="宋体"/>
          <w:sz w:val="21"/>
          <w:szCs w:val="21"/>
        </w:rPr>
        <w:t xml:space="preserve"> 填写《世界名校访学2019-2020学年冬春项目报名表》，网上报名的时间决定录取的顺序和安排宿舍的顺序；</w:t>
      </w:r>
    </w:p>
    <w:p>
      <w:pPr>
        <w:pStyle w:val="16"/>
        <w:numPr>
          <w:ilvl w:val="0"/>
          <w:numId w:val="6"/>
        </w:numPr>
        <w:spacing w:line="360" w:lineRule="auto"/>
        <w:ind w:left="425" w:leftChars="0" w:hanging="425" w:firstLineChars="0"/>
        <w:jc w:val="left"/>
        <w:rPr>
          <w:rFonts w:hint="eastAsia" w:ascii="宋体" w:hAnsi="宋体" w:eastAsia="宋体" w:cs="宋体"/>
          <w:kern w:val="0"/>
          <w:sz w:val="21"/>
          <w:szCs w:val="21"/>
        </w:rPr>
      </w:pPr>
      <w:r>
        <w:rPr>
          <w:rFonts w:hint="eastAsia" w:ascii="宋体" w:hAnsi="宋体" w:eastAsia="宋体" w:cs="宋体"/>
          <w:sz w:val="21"/>
          <w:szCs w:val="21"/>
        </w:rPr>
        <w:t>学生申请资料经初步审核后，参加面试确定预录取名单；</w:t>
      </w:r>
    </w:p>
    <w:p>
      <w:pPr>
        <w:pStyle w:val="16"/>
        <w:numPr>
          <w:ilvl w:val="0"/>
          <w:numId w:val="6"/>
        </w:numPr>
        <w:spacing w:line="360" w:lineRule="auto"/>
        <w:ind w:left="425" w:leftChars="0" w:hanging="425" w:firstLineChars="0"/>
        <w:jc w:val="left"/>
        <w:rPr>
          <w:rFonts w:hint="eastAsia" w:ascii="宋体" w:hAnsi="宋体" w:eastAsia="宋体" w:cs="宋体"/>
          <w:sz w:val="21"/>
          <w:szCs w:val="21"/>
        </w:rPr>
      </w:pPr>
      <w:r>
        <w:rPr>
          <w:rFonts w:hint="eastAsia" w:ascii="宋体" w:hAnsi="宋体" w:eastAsia="宋体" w:cs="宋体"/>
          <w:sz w:val="21"/>
          <w:szCs w:val="21"/>
        </w:rPr>
        <w:t>学生提交正式申请材料并缴纳项目费用，获得学校录取及签证后赴美学习。</w:t>
      </w:r>
    </w:p>
    <w:p>
      <w:pPr>
        <w:widowControl/>
        <w:spacing w:line="360" w:lineRule="auto"/>
        <w:ind w:firstLine="420" w:firstLineChars="200"/>
        <w:jc w:val="left"/>
        <w:rPr>
          <w:rFonts w:hint="eastAsia" w:ascii="宋体" w:hAnsi="宋体" w:eastAsia="宋体" w:cs="宋体"/>
          <w:color w:val="FF0000"/>
          <w:sz w:val="21"/>
          <w:szCs w:val="21"/>
        </w:rPr>
      </w:pPr>
      <w:r>
        <w:rPr>
          <w:rFonts w:hint="eastAsia" w:ascii="宋体" w:hAnsi="宋体" w:eastAsia="宋体" w:cs="宋体"/>
          <w:sz w:val="21"/>
          <w:szCs w:val="21"/>
        </w:rPr>
        <w:t>申请截止日期：</w:t>
      </w:r>
      <w:r>
        <w:rPr>
          <w:rFonts w:hint="eastAsia" w:ascii="宋体" w:hAnsi="宋体" w:eastAsia="宋体" w:cs="宋体"/>
          <w:color w:val="FF0000"/>
          <w:sz w:val="21"/>
          <w:szCs w:val="21"/>
        </w:rPr>
        <w:t xml:space="preserve"> 201</w:t>
      </w:r>
      <w:r>
        <w:rPr>
          <w:rFonts w:hint="eastAsia" w:ascii="宋体" w:hAnsi="宋体" w:eastAsia="宋体" w:cs="宋体"/>
          <w:color w:val="FF0000"/>
          <w:sz w:val="21"/>
          <w:szCs w:val="21"/>
          <w:lang w:val="en-US" w:eastAsia="zh-CN"/>
        </w:rPr>
        <w:t>9</w:t>
      </w:r>
      <w:r>
        <w:rPr>
          <w:rFonts w:hint="eastAsia" w:ascii="宋体" w:hAnsi="宋体" w:eastAsia="宋体" w:cs="宋体"/>
          <w:color w:val="FF0000"/>
          <w:sz w:val="21"/>
          <w:szCs w:val="21"/>
        </w:rPr>
        <w:t>年</w:t>
      </w:r>
      <w:r>
        <w:rPr>
          <w:rFonts w:hint="eastAsia" w:ascii="宋体" w:hAnsi="宋体" w:eastAsia="宋体" w:cs="宋体"/>
          <w:color w:val="FF0000"/>
          <w:sz w:val="21"/>
          <w:szCs w:val="21"/>
          <w:lang w:val="en-US" w:eastAsia="zh-CN"/>
        </w:rPr>
        <w:t>10</w:t>
      </w:r>
      <w:r>
        <w:rPr>
          <w:rFonts w:hint="eastAsia" w:ascii="宋体" w:hAnsi="宋体" w:eastAsia="宋体" w:cs="宋体"/>
          <w:color w:val="FF0000"/>
          <w:sz w:val="21"/>
          <w:szCs w:val="21"/>
        </w:rPr>
        <w:t>月</w:t>
      </w:r>
      <w:r>
        <w:rPr>
          <w:rFonts w:hint="eastAsia" w:ascii="宋体" w:hAnsi="宋体" w:eastAsia="宋体" w:cs="宋体"/>
          <w:color w:val="FF0000"/>
          <w:sz w:val="21"/>
          <w:szCs w:val="21"/>
          <w:lang w:val="en-US" w:eastAsia="zh-CN"/>
        </w:rPr>
        <w:t>30</w:t>
      </w:r>
      <w:r>
        <w:rPr>
          <w:rFonts w:hint="eastAsia" w:ascii="宋体" w:hAnsi="宋体" w:eastAsia="宋体" w:cs="宋体"/>
          <w:color w:val="FF0000"/>
          <w:sz w:val="21"/>
          <w:szCs w:val="21"/>
        </w:rPr>
        <w:t>日</w:t>
      </w:r>
    </w:p>
    <w:p>
      <w:pPr>
        <w:widowControl/>
        <w:spacing w:line="360" w:lineRule="auto"/>
        <w:ind w:firstLine="420" w:firstLineChars="200"/>
        <w:jc w:val="left"/>
        <w:rPr>
          <w:rFonts w:hint="eastAsia" w:ascii="宋体" w:hAnsi="宋体" w:eastAsia="宋体" w:cs="宋体"/>
          <w:color w:val="FF0000"/>
          <w:sz w:val="21"/>
          <w:szCs w:val="21"/>
          <w:lang w:val="en-US" w:eastAsia="zh-CN"/>
        </w:rPr>
      </w:pPr>
    </w:p>
    <w:p>
      <w:pPr>
        <w:spacing w:line="360" w:lineRule="auto"/>
      </w:pPr>
      <w:r>
        <w:rPr>
          <w:rFonts w:hint="eastAsia" w:ascii="宋体" w:hAnsi="宋体" w:eastAsia="宋体" w:cs="宋体"/>
          <w:bCs/>
          <w:kern w:val="0"/>
          <w:sz w:val="21"/>
          <w:szCs w:val="21"/>
        </w:rPr>
        <w:t>咨询电话：</w:t>
      </w:r>
      <w:r>
        <w:rPr>
          <w:rFonts w:hint="eastAsia" w:ascii="宋体" w:hAnsi="宋体" w:eastAsia="宋体" w:cs="宋体"/>
          <w:kern w:val="0"/>
          <w:sz w:val="21"/>
          <w:szCs w:val="21"/>
        </w:rPr>
        <w:t>国际交流与合作处 028-85966899</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w:t>
      </w:r>
      <w:r>
        <w:rPr>
          <w:rFonts w:hint="eastAsia" w:ascii="宋体" w:hAnsi="宋体" w:eastAsia="宋体" w:cs="宋体"/>
          <w:kern w:val="0"/>
          <w:sz w:val="21"/>
          <w:szCs w:val="21"/>
          <w:lang w:val="en-US" w:eastAsia="zh-CN"/>
        </w:rPr>
        <w:t xml:space="preserve"> 17358513797 黄老师 </w:t>
      </w:r>
      <w:r>
        <w:rPr>
          <w:rFonts w:hint="eastAsia" w:ascii="宋体" w:hAnsi="宋体" w:eastAsia="宋体" w:cs="宋体"/>
          <w:kern w:val="0"/>
          <w:sz w:val="21"/>
          <w:szCs w:val="21"/>
        </w:rPr>
        <w:t>18988936428李老师</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lang w:val="en-US" w:eastAsia="zh-CN"/>
        </w:rPr>
        <w:t>028-61983024</w:t>
      </w:r>
      <w:r>
        <w:rPr>
          <w:rFonts w:hint="eastAsia" w:ascii="宋体" w:hAnsi="宋体" w:eastAsia="宋体" w:cs="宋体"/>
          <w:kern w:val="0"/>
          <w:sz w:val="21"/>
          <w:szCs w:val="21"/>
        </w:rPr>
        <w:t xml:space="preserve">（周一至周五 </w:t>
      </w:r>
      <w:r>
        <w:rPr>
          <w:rFonts w:hint="eastAsia" w:ascii="宋体" w:hAnsi="宋体" w:eastAsia="宋体" w:cs="宋体"/>
          <w:kern w:val="0"/>
          <w:sz w:val="21"/>
          <w:szCs w:val="21"/>
          <w:lang w:val="en-US" w:eastAsia="zh-CN"/>
        </w:rPr>
        <w:t>8</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0—1</w:t>
      </w:r>
      <w:r>
        <w:rPr>
          <w:rFonts w:hint="eastAsia" w:ascii="宋体" w:hAnsi="宋体" w:eastAsia="宋体" w:cs="宋体"/>
          <w:kern w:val="0"/>
          <w:sz w:val="21"/>
          <w:szCs w:val="21"/>
          <w:lang w:val="en-US" w:eastAsia="zh-CN"/>
        </w:rPr>
        <w:t>7</w:t>
      </w: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3</w:t>
      </w:r>
      <w:r>
        <w:rPr>
          <w:rFonts w:hint="eastAsia" w:ascii="宋体" w:hAnsi="宋体" w:eastAsia="宋体" w:cs="宋体"/>
          <w:kern w:val="0"/>
          <w:sz w:val="21"/>
          <w:szCs w:val="21"/>
        </w:rPr>
        <w:t>0）</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全美国际教育协会官网：</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"http://www.usiea.org" </w:instrText>
      </w:r>
      <w:r>
        <w:rPr>
          <w:rFonts w:hint="eastAsia" w:ascii="宋体" w:hAnsi="宋体" w:eastAsia="宋体" w:cs="宋体"/>
          <w:sz w:val="21"/>
          <w:szCs w:val="21"/>
        </w:rPr>
        <w:fldChar w:fldCharType="separate"/>
      </w:r>
      <w:r>
        <w:rPr>
          <w:rFonts w:hint="eastAsia" w:ascii="宋体" w:hAnsi="宋体" w:eastAsia="宋体" w:cs="宋体"/>
          <w:color w:val="0068B7"/>
          <w:kern w:val="0"/>
          <w:sz w:val="21"/>
          <w:szCs w:val="21"/>
        </w:rPr>
        <w:t>www.usiea.org</w:t>
      </w:r>
      <w:r>
        <w:rPr>
          <w:rFonts w:hint="eastAsia" w:ascii="宋体" w:hAnsi="宋体" w:eastAsia="宋体" w:cs="宋体"/>
          <w:color w:val="0068B7"/>
          <w:kern w:val="0"/>
          <w:sz w:val="21"/>
          <w:szCs w:val="21"/>
        </w:rPr>
        <w:fldChar w:fldCharType="end"/>
      </w:r>
      <w:r>
        <w:rPr>
          <w:rFonts w:hint="eastAsia" w:ascii="宋体" w:hAnsi="宋体" w:eastAsia="宋体" w:cs="宋体"/>
          <w:kern w:val="0"/>
          <w:sz w:val="21"/>
          <w:szCs w:val="21"/>
        </w:rPr>
        <w:t xml:space="preserve"> </w:t>
      </w:r>
    </w:p>
    <w:p>
      <w:pPr>
        <w:spacing w:line="360" w:lineRule="auto"/>
        <w:rPr>
          <w:rFonts w:hint="eastAsia" w:ascii="宋体" w:hAnsi="宋体" w:eastAsia="宋体" w:cs="宋体"/>
          <w:kern w:val="0"/>
          <w:sz w:val="21"/>
          <w:szCs w:val="21"/>
        </w:rPr>
      </w:pPr>
      <w:r>
        <w:rPr>
          <w:rFonts w:hint="eastAsia" w:ascii="宋体" w:hAnsi="宋体" w:eastAsia="宋体" w:cs="宋体"/>
          <w:kern w:val="0"/>
          <w:sz w:val="21"/>
          <w:szCs w:val="21"/>
        </w:rPr>
        <w:t>全美国际教育协会官微：全美国际访学微刊</w:t>
      </w:r>
    </w:p>
    <w:p>
      <w:pPr>
        <w:spacing w:line="360" w:lineRule="auto"/>
        <w:jc w:val="left"/>
        <w:rPr>
          <w:rFonts w:asciiTheme="minorHAnsi" w:hAnsiTheme="minorHAnsi" w:eastAsiaTheme="majorEastAsia" w:cstheme="minorHAnsi"/>
          <w:szCs w:val="21"/>
        </w:rPr>
      </w:pPr>
      <w:r>
        <w:rPr>
          <w:rFonts w:hint="eastAsia" w:ascii="宋体" w:hAnsi="宋体" w:eastAsia="宋体" w:cs="宋体"/>
          <w:kern w:val="0"/>
          <w:sz w:val="21"/>
          <w:szCs w:val="21"/>
        </w:rPr>
        <w:t>项目邮箱咨询：</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HYPERLINK "mailto:visitucb@yeah.net" </w:instrText>
      </w:r>
      <w:r>
        <w:rPr>
          <w:rFonts w:hint="eastAsia" w:ascii="宋体" w:hAnsi="宋体" w:eastAsia="宋体" w:cs="宋体"/>
          <w:sz w:val="21"/>
          <w:szCs w:val="21"/>
        </w:rPr>
        <w:fldChar w:fldCharType="separate"/>
      </w:r>
      <w:r>
        <w:rPr>
          <w:rStyle w:val="12"/>
          <w:rFonts w:hint="eastAsia" w:ascii="宋体" w:hAnsi="宋体" w:eastAsia="宋体" w:cs="宋体"/>
          <w:sz w:val="21"/>
          <w:szCs w:val="21"/>
        </w:rPr>
        <w:t>visitucb@yeah.net</w:t>
      </w:r>
      <w:r>
        <w:rPr>
          <w:rStyle w:val="12"/>
          <w:rFonts w:hint="eastAsia" w:ascii="宋体" w:hAnsi="宋体" w:eastAsia="宋体" w:cs="宋体"/>
          <w:sz w:val="21"/>
          <w:szCs w:val="21"/>
        </w:rPr>
        <w:fldChar w:fldCharType="end"/>
      </w:r>
      <w:r>
        <w:rPr>
          <w:rStyle w:val="12"/>
          <w:rFonts w:hint="eastAsia" w:ascii="宋体" w:hAnsi="宋体" w:eastAsia="宋体" w:cs="宋体"/>
          <w:sz w:val="21"/>
          <w:szCs w:val="21"/>
        </w:rPr>
        <w:t xml:space="preserve"> </w:t>
      </w:r>
      <w:r>
        <w:rPr>
          <w:rFonts w:hint="eastAsia" w:ascii="宋体" w:hAnsi="宋体" w:eastAsia="宋体" w:cs="宋体"/>
          <w:sz w:val="21"/>
          <w:szCs w:val="21"/>
        </w:rPr>
        <w:t xml:space="preserve"> </w:t>
      </w:r>
    </w:p>
    <w:p>
      <w:pPr>
        <w:spacing w:line="360" w:lineRule="auto"/>
        <w:jc w:val="left"/>
        <w:rPr>
          <w:rFonts w:hint="eastAsia" w:ascii="宋体" w:hAnsi="宋体" w:eastAsia="宋体" w:cs="宋体"/>
          <w:sz w:val="21"/>
          <w:szCs w:val="21"/>
        </w:rPr>
      </w:pPr>
    </w:p>
    <w:sectPr>
      <w:headerReference r:id="rId3" w:type="default"/>
      <w:pgSz w:w="11906" w:h="16838"/>
      <w:pgMar w:top="2025" w:right="1800" w:bottom="1440" w:left="1800" w:header="737"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40" w:lineRule="atLeast"/>
      <w:ind w:right="-336" w:rightChars="-160"/>
      <w:rPr>
        <w:rFonts w:ascii="微软雅黑" w:hAnsi="微软雅黑" w:eastAsia="微软雅黑"/>
        <w:sz w:val="30"/>
        <w:szCs w:val="30"/>
        <w:lang w:val="en-C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E97BEAF6"/>
    <w:multiLevelType w:val="singleLevel"/>
    <w:tmpl w:val="E97BEAF6"/>
    <w:lvl w:ilvl="0" w:tentative="0">
      <w:start w:val="1"/>
      <w:numFmt w:val="decimal"/>
      <w:lvlText w:val="%1)"/>
      <w:lvlJc w:val="left"/>
      <w:pPr>
        <w:ind w:left="425" w:hanging="425"/>
      </w:pPr>
      <w:rPr>
        <w:rFonts w:hint="default"/>
      </w:rPr>
    </w:lvl>
  </w:abstractNum>
  <w:abstractNum w:abstractNumId="1">
    <w:nsid w:val="00E91C33"/>
    <w:multiLevelType w:val="multilevel"/>
    <w:tmpl w:val="00E91C33"/>
    <w:lvl w:ilvl="0" w:tentative="0">
      <w:start w:val="1"/>
      <w:numFmt w:val="japaneseCounting"/>
      <w:lvlText w:val="%1、"/>
      <w:lvlJc w:val="left"/>
      <w:pPr>
        <w:ind w:left="440" w:hanging="44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13931E04"/>
    <w:multiLevelType w:val="multilevel"/>
    <w:tmpl w:val="13931E04"/>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3">
    <w:nsid w:val="63AEE474"/>
    <w:multiLevelType w:val="singleLevel"/>
    <w:tmpl w:val="63AEE474"/>
    <w:lvl w:ilvl="0" w:tentative="0">
      <w:start w:val="1"/>
      <w:numFmt w:val="decimal"/>
      <w:lvlText w:val="%1)"/>
      <w:lvlJc w:val="left"/>
      <w:pPr>
        <w:ind w:left="425" w:hanging="425"/>
      </w:pPr>
      <w:rPr>
        <w:rFonts w:hint="default"/>
      </w:rPr>
    </w:lvl>
  </w:abstractNum>
  <w:abstractNum w:abstractNumId="4">
    <w:nsid w:val="75A3467D"/>
    <w:multiLevelType w:val="multilevel"/>
    <w:tmpl w:val="75A3467D"/>
    <w:lvl w:ilvl="0" w:tentative="0">
      <w:start w:val="2"/>
      <w:numFmt w:val="decimal"/>
      <w:lvlText w:val="%1）"/>
      <w:lvlJc w:val="left"/>
      <w:pPr>
        <w:ind w:left="360" w:hanging="360"/>
      </w:pPr>
      <w:rPr>
        <w:rFonts w:hint="default" w:eastAsiaTheme="majorEastAsia" w:cstheme="minorHAnsi"/>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77F013D8"/>
    <w:multiLevelType w:val="multilevel"/>
    <w:tmpl w:val="77F013D8"/>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2"/>
  </w:num>
  <w:num w:numId="3">
    <w:abstractNumId w:val="4"/>
  </w:num>
  <w:num w:numId="4">
    <w:abstractNumId w:val="5"/>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500A8F"/>
    <w:rsid w:val="000035D7"/>
    <w:rsid w:val="00010F31"/>
    <w:rsid w:val="00014FA8"/>
    <w:rsid w:val="000169DD"/>
    <w:rsid w:val="00022AFD"/>
    <w:rsid w:val="000230BD"/>
    <w:rsid w:val="00023476"/>
    <w:rsid w:val="000236D2"/>
    <w:rsid w:val="00024A32"/>
    <w:rsid w:val="00024C64"/>
    <w:rsid w:val="00025022"/>
    <w:rsid w:val="00025206"/>
    <w:rsid w:val="0003068E"/>
    <w:rsid w:val="00030A02"/>
    <w:rsid w:val="00031403"/>
    <w:rsid w:val="000362BD"/>
    <w:rsid w:val="000402B0"/>
    <w:rsid w:val="00041148"/>
    <w:rsid w:val="00041BDA"/>
    <w:rsid w:val="00046229"/>
    <w:rsid w:val="00047E4D"/>
    <w:rsid w:val="000519A2"/>
    <w:rsid w:val="00051C6A"/>
    <w:rsid w:val="00052B6D"/>
    <w:rsid w:val="0005389A"/>
    <w:rsid w:val="0006181E"/>
    <w:rsid w:val="00064CA4"/>
    <w:rsid w:val="00065242"/>
    <w:rsid w:val="000820F9"/>
    <w:rsid w:val="000845C3"/>
    <w:rsid w:val="0009206E"/>
    <w:rsid w:val="000954F4"/>
    <w:rsid w:val="000A0A86"/>
    <w:rsid w:val="000A2A22"/>
    <w:rsid w:val="000A4030"/>
    <w:rsid w:val="000A5251"/>
    <w:rsid w:val="000A6CE8"/>
    <w:rsid w:val="000B1A29"/>
    <w:rsid w:val="000C2A5A"/>
    <w:rsid w:val="000C2F7C"/>
    <w:rsid w:val="000C3F5B"/>
    <w:rsid w:val="000C4E56"/>
    <w:rsid w:val="000C5C18"/>
    <w:rsid w:val="000C7F9A"/>
    <w:rsid w:val="000E0D65"/>
    <w:rsid w:val="000E1209"/>
    <w:rsid w:val="000F168E"/>
    <w:rsid w:val="000F6E7C"/>
    <w:rsid w:val="001013E1"/>
    <w:rsid w:val="0010196F"/>
    <w:rsid w:val="001051AF"/>
    <w:rsid w:val="00106BA3"/>
    <w:rsid w:val="00107AEF"/>
    <w:rsid w:val="00110B1F"/>
    <w:rsid w:val="00110EDA"/>
    <w:rsid w:val="0011231F"/>
    <w:rsid w:val="00112EFC"/>
    <w:rsid w:val="001131EA"/>
    <w:rsid w:val="00116EF3"/>
    <w:rsid w:val="00120A5E"/>
    <w:rsid w:val="0012340B"/>
    <w:rsid w:val="0012488E"/>
    <w:rsid w:val="00124B0D"/>
    <w:rsid w:val="00125024"/>
    <w:rsid w:val="00127FE8"/>
    <w:rsid w:val="00131D30"/>
    <w:rsid w:val="00134011"/>
    <w:rsid w:val="00135DEF"/>
    <w:rsid w:val="00135F93"/>
    <w:rsid w:val="0013737E"/>
    <w:rsid w:val="00137744"/>
    <w:rsid w:val="00142B17"/>
    <w:rsid w:val="00143294"/>
    <w:rsid w:val="00146AB9"/>
    <w:rsid w:val="00160B9E"/>
    <w:rsid w:val="001668E7"/>
    <w:rsid w:val="00167799"/>
    <w:rsid w:val="00170451"/>
    <w:rsid w:val="001738F0"/>
    <w:rsid w:val="00176B88"/>
    <w:rsid w:val="00176F21"/>
    <w:rsid w:val="00182E04"/>
    <w:rsid w:val="001834A2"/>
    <w:rsid w:val="001839FD"/>
    <w:rsid w:val="001845C2"/>
    <w:rsid w:val="00186190"/>
    <w:rsid w:val="00192C0F"/>
    <w:rsid w:val="001A0C7A"/>
    <w:rsid w:val="001A281F"/>
    <w:rsid w:val="001A7D56"/>
    <w:rsid w:val="001B1730"/>
    <w:rsid w:val="001C1A51"/>
    <w:rsid w:val="001C6985"/>
    <w:rsid w:val="001D4042"/>
    <w:rsid w:val="001D4EF4"/>
    <w:rsid w:val="001E31D7"/>
    <w:rsid w:val="001E5D98"/>
    <w:rsid w:val="001F5524"/>
    <w:rsid w:val="00202030"/>
    <w:rsid w:val="00203BFF"/>
    <w:rsid w:val="002133F2"/>
    <w:rsid w:val="002150CA"/>
    <w:rsid w:val="0021711E"/>
    <w:rsid w:val="00220E2D"/>
    <w:rsid w:val="002211FB"/>
    <w:rsid w:val="0022214B"/>
    <w:rsid w:val="002274D9"/>
    <w:rsid w:val="0023241C"/>
    <w:rsid w:val="002441C6"/>
    <w:rsid w:val="002449A1"/>
    <w:rsid w:val="00251642"/>
    <w:rsid w:val="00255140"/>
    <w:rsid w:val="00261406"/>
    <w:rsid w:val="00261C11"/>
    <w:rsid w:val="00271BCB"/>
    <w:rsid w:val="00275270"/>
    <w:rsid w:val="0028056A"/>
    <w:rsid w:val="002852EE"/>
    <w:rsid w:val="0029179F"/>
    <w:rsid w:val="00292326"/>
    <w:rsid w:val="00295361"/>
    <w:rsid w:val="00296348"/>
    <w:rsid w:val="00297E1A"/>
    <w:rsid w:val="002A402F"/>
    <w:rsid w:val="002B269F"/>
    <w:rsid w:val="002B61DD"/>
    <w:rsid w:val="002B7076"/>
    <w:rsid w:val="002C2028"/>
    <w:rsid w:val="002C229B"/>
    <w:rsid w:val="002C27D4"/>
    <w:rsid w:val="002C6AEB"/>
    <w:rsid w:val="002C722D"/>
    <w:rsid w:val="002D04D0"/>
    <w:rsid w:val="002D76B2"/>
    <w:rsid w:val="002E1476"/>
    <w:rsid w:val="002E3299"/>
    <w:rsid w:val="002E4985"/>
    <w:rsid w:val="002E64CC"/>
    <w:rsid w:val="002F1A53"/>
    <w:rsid w:val="002F3568"/>
    <w:rsid w:val="002F3A45"/>
    <w:rsid w:val="002F7AB9"/>
    <w:rsid w:val="0030157A"/>
    <w:rsid w:val="00302995"/>
    <w:rsid w:val="003039E1"/>
    <w:rsid w:val="00303D3D"/>
    <w:rsid w:val="0031712B"/>
    <w:rsid w:val="0032092A"/>
    <w:rsid w:val="00321717"/>
    <w:rsid w:val="00321D5F"/>
    <w:rsid w:val="00333C15"/>
    <w:rsid w:val="00342D9D"/>
    <w:rsid w:val="00342E7E"/>
    <w:rsid w:val="003507AC"/>
    <w:rsid w:val="003541E5"/>
    <w:rsid w:val="00360EC7"/>
    <w:rsid w:val="00360F09"/>
    <w:rsid w:val="00364A0C"/>
    <w:rsid w:val="003738EA"/>
    <w:rsid w:val="00375491"/>
    <w:rsid w:val="003822A8"/>
    <w:rsid w:val="00383DCC"/>
    <w:rsid w:val="00386A4E"/>
    <w:rsid w:val="00386C51"/>
    <w:rsid w:val="00387362"/>
    <w:rsid w:val="00390FCA"/>
    <w:rsid w:val="00394A95"/>
    <w:rsid w:val="00396306"/>
    <w:rsid w:val="00397742"/>
    <w:rsid w:val="003A6BB9"/>
    <w:rsid w:val="003B4151"/>
    <w:rsid w:val="003B669C"/>
    <w:rsid w:val="003B786E"/>
    <w:rsid w:val="003B78DD"/>
    <w:rsid w:val="003C6EF7"/>
    <w:rsid w:val="003D0F7B"/>
    <w:rsid w:val="003D0FE9"/>
    <w:rsid w:val="003D2BCE"/>
    <w:rsid w:val="003D4037"/>
    <w:rsid w:val="003D4529"/>
    <w:rsid w:val="003D4B46"/>
    <w:rsid w:val="003D5F48"/>
    <w:rsid w:val="003E01B3"/>
    <w:rsid w:val="003E3199"/>
    <w:rsid w:val="003F050A"/>
    <w:rsid w:val="003F059B"/>
    <w:rsid w:val="003F50D1"/>
    <w:rsid w:val="003F5F88"/>
    <w:rsid w:val="003F6107"/>
    <w:rsid w:val="00405EAC"/>
    <w:rsid w:val="00411E08"/>
    <w:rsid w:val="0041273F"/>
    <w:rsid w:val="004135C9"/>
    <w:rsid w:val="004221BF"/>
    <w:rsid w:val="00426325"/>
    <w:rsid w:val="00437A33"/>
    <w:rsid w:val="004469A3"/>
    <w:rsid w:val="0045270B"/>
    <w:rsid w:val="00454C45"/>
    <w:rsid w:val="004624BE"/>
    <w:rsid w:val="00465A92"/>
    <w:rsid w:val="0046618C"/>
    <w:rsid w:val="004679CE"/>
    <w:rsid w:val="00470270"/>
    <w:rsid w:val="00471CBF"/>
    <w:rsid w:val="00472D99"/>
    <w:rsid w:val="00485AD1"/>
    <w:rsid w:val="004869CF"/>
    <w:rsid w:val="004932B6"/>
    <w:rsid w:val="004946E0"/>
    <w:rsid w:val="004955A6"/>
    <w:rsid w:val="00495E6D"/>
    <w:rsid w:val="004A1602"/>
    <w:rsid w:val="004A51A8"/>
    <w:rsid w:val="004B4D89"/>
    <w:rsid w:val="004B516E"/>
    <w:rsid w:val="004C0E26"/>
    <w:rsid w:val="004C343D"/>
    <w:rsid w:val="004C5277"/>
    <w:rsid w:val="004C6632"/>
    <w:rsid w:val="004D2090"/>
    <w:rsid w:val="004D3884"/>
    <w:rsid w:val="004D5BBA"/>
    <w:rsid w:val="004E0748"/>
    <w:rsid w:val="004E728E"/>
    <w:rsid w:val="004F0AAB"/>
    <w:rsid w:val="004F743F"/>
    <w:rsid w:val="004F7C1B"/>
    <w:rsid w:val="00500A8F"/>
    <w:rsid w:val="00503083"/>
    <w:rsid w:val="00504C25"/>
    <w:rsid w:val="005059BC"/>
    <w:rsid w:val="005060F9"/>
    <w:rsid w:val="0051106C"/>
    <w:rsid w:val="00512BAE"/>
    <w:rsid w:val="00520C0E"/>
    <w:rsid w:val="00522EAE"/>
    <w:rsid w:val="005250F2"/>
    <w:rsid w:val="00525703"/>
    <w:rsid w:val="00527573"/>
    <w:rsid w:val="005326B5"/>
    <w:rsid w:val="005339BB"/>
    <w:rsid w:val="00534317"/>
    <w:rsid w:val="00536F45"/>
    <w:rsid w:val="00537EE6"/>
    <w:rsid w:val="005401D5"/>
    <w:rsid w:val="00547E75"/>
    <w:rsid w:val="00553F46"/>
    <w:rsid w:val="00555016"/>
    <w:rsid w:val="00556212"/>
    <w:rsid w:val="005606AC"/>
    <w:rsid w:val="0057138A"/>
    <w:rsid w:val="00572B6E"/>
    <w:rsid w:val="005762B0"/>
    <w:rsid w:val="00584716"/>
    <w:rsid w:val="005849E3"/>
    <w:rsid w:val="00584E4F"/>
    <w:rsid w:val="00584E6C"/>
    <w:rsid w:val="00584F1D"/>
    <w:rsid w:val="00586D6C"/>
    <w:rsid w:val="00587D18"/>
    <w:rsid w:val="00596D1A"/>
    <w:rsid w:val="005A31F5"/>
    <w:rsid w:val="005A65C8"/>
    <w:rsid w:val="005B69C2"/>
    <w:rsid w:val="005C27A1"/>
    <w:rsid w:val="005C7CC0"/>
    <w:rsid w:val="005D0683"/>
    <w:rsid w:val="005D2678"/>
    <w:rsid w:val="005D53C9"/>
    <w:rsid w:val="005D6F09"/>
    <w:rsid w:val="005E4B22"/>
    <w:rsid w:val="005E5A41"/>
    <w:rsid w:val="005E674A"/>
    <w:rsid w:val="005E6E17"/>
    <w:rsid w:val="005F6112"/>
    <w:rsid w:val="005F6EBE"/>
    <w:rsid w:val="0060350C"/>
    <w:rsid w:val="00604B3D"/>
    <w:rsid w:val="00606AA2"/>
    <w:rsid w:val="00606C4F"/>
    <w:rsid w:val="00617A76"/>
    <w:rsid w:val="00621ED0"/>
    <w:rsid w:val="00622238"/>
    <w:rsid w:val="00624BB2"/>
    <w:rsid w:val="00625AB6"/>
    <w:rsid w:val="00632329"/>
    <w:rsid w:val="00637AD1"/>
    <w:rsid w:val="006452B3"/>
    <w:rsid w:val="00652D43"/>
    <w:rsid w:val="0066295A"/>
    <w:rsid w:val="00663035"/>
    <w:rsid w:val="00664055"/>
    <w:rsid w:val="006662B4"/>
    <w:rsid w:val="00666CF9"/>
    <w:rsid w:val="00667457"/>
    <w:rsid w:val="00667A61"/>
    <w:rsid w:val="00670ED6"/>
    <w:rsid w:val="0067541F"/>
    <w:rsid w:val="0068291B"/>
    <w:rsid w:val="006858D5"/>
    <w:rsid w:val="00687DBB"/>
    <w:rsid w:val="00696B1C"/>
    <w:rsid w:val="0069735A"/>
    <w:rsid w:val="006A2B5F"/>
    <w:rsid w:val="006A32C4"/>
    <w:rsid w:val="006A526F"/>
    <w:rsid w:val="006A72B8"/>
    <w:rsid w:val="006B576E"/>
    <w:rsid w:val="006B7F44"/>
    <w:rsid w:val="006C1F05"/>
    <w:rsid w:val="006C2070"/>
    <w:rsid w:val="006C7966"/>
    <w:rsid w:val="006D5B15"/>
    <w:rsid w:val="006D642C"/>
    <w:rsid w:val="006F2BC0"/>
    <w:rsid w:val="00700EA9"/>
    <w:rsid w:val="0070255A"/>
    <w:rsid w:val="00705BEF"/>
    <w:rsid w:val="00706179"/>
    <w:rsid w:val="007113DD"/>
    <w:rsid w:val="0071430B"/>
    <w:rsid w:val="00720659"/>
    <w:rsid w:val="0072201D"/>
    <w:rsid w:val="00733292"/>
    <w:rsid w:val="00736663"/>
    <w:rsid w:val="007423FD"/>
    <w:rsid w:val="00742540"/>
    <w:rsid w:val="00746CAA"/>
    <w:rsid w:val="00751375"/>
    <w:rsid w:val="00756821"/>
    <w:rsid w:val="007619AD"/>
    <w:rsid w:val="00762330"/>
    <w:rsid w:val="007640E0"/>
    <w:rsid w:val="007652B1"/>
    <w:rsid w:val="00770616"/>
    <w:rsid w:val="00772E22"/>
    <w:rsid w:val="00775505"/>
    <w:rsid w:val="00776AE1"/>
    <w:rsid w:val="00785C31"/>
    <w:rsid w:val="00791438"/>
    <w:rsid w:val="007A01B4"/>
    <w:rsid w:val="007A03BE"/>
    <w:rsid w:val="007A07E5"/>
    <w:rsid w:val="007A1FEE"/>
    <w:rsid w:val="007A385D"/>
    <w:rsid w:val="007A3E79"/>
    <w:rsid w:val="007A7362"/>
    <w:rsid w:val="007B5A17"/>
    <w:rsid w:val="007B7729"/>
    <w:rsid w:val="007C66DE"/>
    <w:rsid w:val="007D0768"/>
    <w:rsid w:val="007D224F"/>
    <w:rsid w:val="007E0C8A"/>
    <w:rsid w:val="007E3816"/>
    <w:rsid w:val="007F22A1"/>
    <w:rsid w:val="007F5700"/>
    <w:rsid w:val="00802548"/>
    <w:rsid w:val="00802957"/>
    <w:rsid w:val="00814AA6"/>
    <w:rsid w:val="00823EA5"/>
    <w:rsid w:val="00824F39"/>
    <w:rsid w:val="008267EE"/>
    <w:rsid w:val="0083050D"/>
    <w:rsid w:val="00832E9B"/>
    <w:rsid w:val="008432ED"/>
    <w:rsid w:val="00843F7D"/>
    <w:rsid w:val="00844AAF"/>
    <w:rsid w:val="008450F3"/>
    <w:rsid w:val="00854768"/>
    <w:rsid w:val="0086227D"/>
    <w:rsid w:val="00863FEE"/>
    <w:rsid w:val="008653E0"/>
    <w:rsid w:val="0088500C"/>
    <w:rsid w:val="0089014A"/>
    <w:rsid w:val="008902CF"/>
    <w:rsid w:val="008966E9"/>
    <w:rsid w:val="008B4A3B"/>
    <w:rsid w:val="008B56E5"/>
    <w:rsid w:val="008C1F77"/>
    <w:rsid w:val="008C5B19"/>
    <w:rsid w:val="008D3CFE"/>
    <w:rsid w:val="008D5E6C"/>
    <w:rsid w:val="008D7F16"/>
    <w:rsid w:val="008E4534"/>
    <w:rsid w:val="008E54DB"/>
    <w:rsid w:val="008F1045"/>
    <w:rsid w:val="00901133"/>
    <w:rsid w:val="009018E4"/>
    <w:rsid w:val="00903BED"/>
    <w:rsid w:val="00905613"/>
    <w:rsid w:val="00905BF1"/>
    <w:rsid w:val="00906C38"/>
    <w:rsid w:val="00913572"/>
    <w:rsid w:val="009171E7"/>
    <w:rsid w:val="00917A3B"/>
    <w:rsid w:val="0092087F"/>
    <w:rsid w:val="0092377F"/>
    <w:rsid w:val="0092404D"/>
    <w:rsid w:val="009274E2"/>
    <w:rsid w:val="00930DF7"/>
    <w:rsid w:val="00936821"/>
    <w:rsid w:val="0094276A"/>
    <w:rsid w:val="00942C75"/>
    <w:rsid w:val="00951195"/>
    <w:rsid w:val="00952045"/>
    <w:rsid w:val="00952BA5"/>
    <w:rsid w:val="009554FB"/>
    <w:rsid w:val="00957EEC"/>
    <w:rsid w:val="00963696"/>
    <w:rsid w:val="009642E6"/>
    <w:rsid w:val="009645E2"/>
    <w:rsid w:val="00965CCC"/>
    <w:rsid w:val="00972BCD"/>
    <w:rsid w:val="0097304E"/>
    <w:rsid w:val="0097647D"/>
    <w:rsid w:val="00983752"/>
    <w:rsid w:val="00983EF6"/>
    <w:rsid w:val="00987E7A"/>
    <w:rsid w:val="009959F3"/>
    <w:rsid w:val="009A11C1"/>
    <w:rsid w:val="009A27F7"/>
    <w:rsid w:val="009A292D"/>
    <w:rsid w:val="009A34B6"/>
    <w:rsid w:val="009A4CAF"/>
    <w:rsid w:val="009A69B5"/>
    <w:rsid w:val="009B0D73"/>
    <w:rsid w:val="009B3167"/>
    <w:rsid w:val="009C020C"/>
    <w:rsid w:val="009C2B2E"/>
    <w:rsid w:val="009C5D67"/>
    <w:rsid w:val="009C698C"/>
    <w:rsid w:val="009C7A2D"/>
    <w:rsid w:val="009C7CE4"/>
    <w:rsid w:val="009E4A3B"/>
    <w:rsid w:val="009F0653"/>
    <w:rsid w:val="009F1D8D"/>
    <w:rsid w:val="009F7FCB"/>
    <w:rsid w:val="00A00B17"/>
    <w:rsid w:val="00A042A1"/>
    <w:rsid w:val="00A052F0"/>
    <w:rsid w:val="00A1042E"/>
    <w:rsid w:val="00A1301E"/>
    <w:rsid w:val="00A1794D"/>
    <w:rsid w:val="00A207E1"/>
    <w:rsid w:val="00A220C6"/>
    <w:rsid w:val="00A2358C"/>
    <w:rsid w:val="00A2663A"/>
    <w:rsid w:val="00A31C85"/>
    <w:rsid w:val="00A32C2E"/>
    <w:rsid w:val="00A33799"/>
    <w:rsid w:val="00A33A9E"/>
    <w:rsid w:val="00A42B01"/>
    <w:rsid w:val="00A459A1"/>
    <w:rsid w:val="00A623DF"/>
    <w:rsid w:val="00A67B5E"/>
    <w:rsid w:val="00A72E16"/>
    <w:rsid w:val="00A76003"/>
    <w:rsid w:val="00A76D78"/>
    <w:rsid w:val="00A83039"/>
    <w:rsid w:val="00A83140"/>
    <w:rsid w:val="00A843DA"/>
    <w:rsid w:val="00A84830"/>
    <w:rsid w:val="00AA2334"/>
    <w:rsid w:val="00AA4DC4"/>
    <w:rsid w:val="00AB05C6"/>
    <w:rsid w:val="00AB14B1"/>
    <w:rsid w:val="00AB66D7"/>
    <w:rsid w:val="00AC32C6"/>
    <w:rsid w:val="00AD4522"/>
    <w:rsid w:val="00AD7BA1"/>
    <w:rsid w:val="00AE3BCF"/>
    <w:rsid w:val="00AF5247"/>
    <w:rsid w:val="00AF78C6"/>
    <w:rsid w:val="00AF7CB4"/>
    <w:rsid w:val="00B00961"/>
    <w:rsid w:val="00B12237"/>
    <w:rsid w:val="00B12F3C"/>
    <w:rsid w:val="00B24FF7"/>
    <w:rsid w:val="00B2543C"/>
    <w:rsid w:val="00B26192"/>
    <w:rsid w:val="00B262CD"/>
    <w:rsid w:val="00B40A66"/>
    <w:rsid w:val="00B50CF4"/>
    <w:rsid w:val="00B56E05"/>
    <w:rsid w:val="00B57B39"/>
    <w:rsid w:val="00B6632A"/>
    <w:rsid w:val="00B67C18"/>
    <w:rsid w:val="00B74F9C"/>
    <w:rsid w:val="00B801E0"/>
    <w:rsid w:val="00B83422"/>
    <w:rsid w:val="00B841C1"/>
    <w:rsid w:val="00B8765A"/>
    <w:rsid w:val="00B92A27"/>
    <w:rsid w:val="00B948DD"/>
    <w:rsid w:val="00B955B3"/>
    <w:rsid w:val="00BA15F6"/>
    <w:rsid w:val="00BB0CAA"/>
    <w:rsid w:val="00BB11A8"/>
    <w:rsid w:val="00BB2026"/>
    <w:rsid w:val="00BB4CC4"/>
    <w:rsid w:val="00BB5880"/>
    <w:rsid w:val="00BB5FC7"/>
    <w:rsid w:val="00BC3B43"/>
    <w:rsid w:val="00BC44C7"/>
    <w:rsid w:val="00BC5535"/>
    <w:rsid w:val="00BE02A7"/>
    <w:rsid w:val="00BE2788"/>
    <w:rsid w:val="00BE6F4C"/>
    <w:rsid w:val="00BE7E70"/>
    <w:rsid w:val="00BF460C"/>
    <w:rsid w:val="00BF5F9C"/>
    <w:rsid w:val="00C02F99"/>
    <w:rsid w:val="00C05D8E"/>
    <w:rsid w:val="00C06B20"/>
    <w:rsid w:val="00C06CBE"/>
    <w:rsid w:val="00C123C3"/>
    <w:rsid w:val="00C126DF"/>
    <w:rsid w:val="00C153A3"/>
    <w:rsid w:val="00C15DBB"/>
    <w:rsid w:val="00C2314E"/>
    <w:rsid w:val="00C444EA"/>
    <w:rsid w:val="00C50DF8"/>
    <w:rsid w:val="00C5114A"/>
    <w:rsid w:val="00C55BB5"/>
    <w:rsid w:val="00C55F6E"/>
    <w:rsid w:val="00C64953"/>
    <w:rsid w:val="00C745E3"/>
    <w:rsid w:val="00C75C2E"/>
    <w:rsid w:val="00C766EF"/>
    <w:rsid w:val="00C773FC"/>
    <w:rsid w:val="00C807AA"/>
    <w:rsid w:val="00C80EE6"/>
    <w:rsid w:val="00C817A7"/>
    <w:rsid w:val="00C83017"/>
    <w:rsid w:val="00C861B2"/>
    <w:rsid w:val="00C94275"/>
    <w:rsid w:val="00CA2A8B"/>
    <w:rsid w:val="00CA2ADF"/>
    <w:rsid w:val="00CA65E9"/>
    <w:rsid w:val="00CB4339"/>
    <w:rsid w:val="00CB6A55"/>
    <w:rsid w:val="00CC06D4"/>
    <w:rsid w:val="00CC11F6"/>
    <w:rsid w:val="00CC1890"/>
    <w:rsid w:val="00CC480B"/>
    <w:rsid w:val="00CC72C5"/>
    <w:rsid w:val="00CC7310"/>
    <w:rsid w:val="00CD332E"/>
    <w:rsid w:val="00CD41C2"/>
    <w:rsid w:val="00CD603D"/>
    <w:rsid w:val="00CE06FC"/>
    <w:rsid w:val="00CE4335"/>
    <w:rsid w:val="00CF0F2B"/>
    <w:rsid w:val="00D03331"/>
    <w:rsid w:val="00D0647B"/>
    <w:rsid w:val="00D073EA"/>
    <w:rsid w:val="00D12776"/>
    <w:rsid w:val="00D2092D"/>
    <w:rsid w:val="00D23CA9"/>
    <w:rsid w:val="00D31AFE"/>
    <w:rsid w:val="00D332D6"/>
    <w:rsid w:val="00D346FC"/>
    <w:rsid w:val="00D35444"/>
    <w:rsid w:val="00D3691D"/>
    <w:rsid w:val="00D371C4"/>
    <w:rsid w:val="00D455A2"/>
    <w:rsid w:val="00D471D1"/>
    <w:rsid w:val="00D50E81"/>
    <w:rsid w:val="00D634D8"/>
    <w:rsid w:val="00D63C2D"/>
    <w:rsid w:val="00D651FF"/>
    <w:rsid w:val="00D71DEB"/>
    <w:rsid w:val="00D73882"/>
    <w:rsid w:val="00D80609"/>
    <w:rsid w:val="00D82BB6"/>
    <w:rsid w:val="00DA100A"/>
    <w:rsid w:val="00DA25AD"/>
    <w:rsid w:val="00DA73E5"/>
    <w:rsid w:val="00DB0090"/>
    <w:rsid w:val="00DB1679"/>
    <w:rsid w:val="00DC2F1C"/>
    <w:rsid w:val="00DC2F84"/>
    <w:rsid w:val="00DC4BA2"/>
    <w:rsid w:val="00DD4C8D"/>
    <w:rsid w:val="00DD63C9"/>
    <w:rsid w:val="00DD7FB4"/>
    <w:rsid w:val="00DF1C7E"/>
    <w:rsid w:val="00DF4AB0"/>
    <w:rsid w:val="00DF66EE"/>
    <w:rsid w:val="00DF77D7"/>
    <w:rsid w:val="00E00371"/>
    <w:rsid w:val="00E07A31"/>
    <w:rsid w:val="00E17346"/>
    <w:rsid w:val="00E20907"/>
    <w:rsid w:val="00E23047"/>
    <w:rsid w:val="00E23270"/>
    <w:rsid w:val="00E266A1"/>
    <w:rsid w:val="00E27A3F"/>
    <w:rsid w:val="00E309FD"/>
    <w:rsid w:val="00E403D4"/>
    <w:rsid w:val="00E40B95"/>
    <w:rsid w:val="00E50150"/>
    <w:rsid w:val="00E5049F"/>
    <w:rsid w:val="00E51089"/>
    <w:rsid w:val="00E5400A"/>
    <w:rsid w:val="00E61308"/>
    <w:rsid w:val="00E61E70"/>
    <w:rsid w:val="00E64653"/>
    <w:rsid w:val="00E67E38"/>
    <w:rsid w:val="00E76995"/>
    <w:rsid w:val="00E80E43"/>
    <w:rsid w:val="00E8311C"/>
    <w:rsid w:val="00E87A04"/>
    <w:rsid w:val="00E922B4"/>
    <w:rsid w:val="00E94534"/>
    <w:rsid w:val="00E97970"/>
    <w:rsid w:val="00EA4003"/>
    <w:rsid w:val="00EB0151"/>
    <w:rsid w:val="00EB3065"/>
    <w:rsid w:val="00EB7ED2"/>
    <w:rsid w:val="00EC43C8"/>
    <w:rsid w:val="00ED1806"/>
    <w:rsid w:val="00ED369B"/>
    <w:rsid w:val="00ED3F02"/>
    <w:rsid w:val="00ED457C"/>
    <w:rsid w:val="00EE0B92"/>
    <w:rsid w:val="00EE0F0E"/>
    <w:rsid w:val="00EE6702"/>
    <w:rsid w:val="00EE68D2"/>
    <w:rsid w:val="00EF14B7"/>
    <w:rsid w:val="00EF44AD"/>
    <w:rsid w:val="00F014F8"/>
    <w:rsid w:val="00F13937"/>
    <w:rsid w:val="00F17267"/>
    <w:rsid w:val="00F27587"/>
    <w:rsid w:val="00F307F9"/>
    <w:rsid w:val="00F3131F"/>
    <w:rsid w:val="00F32538"/>
    <w:rsid w:val="00F34A00"/>
    <w:rsid w:val="00F34D93"/>
    <w:rsid w:val="00F62AEB"/>
    <w:rsid w:val="00F66A6D"/>
    <w:rsid w:val="00F70183"/>
    <w:rsid w:val="00F72010"/>
    <w:rsid w:val="00F76428"/>
    <w:rsid w:val="00F77798"/>
    <w:rsid w:val="00F77B4D"/>
    <w:rsid w:val="00F820F7"/>
    <w:rsid w:val="00F83A44"/>
    <w:rsid w:val="00F85C22"/>
    <w:rsid w:val="00F86B12"/>
    <w:rsid w:val="00F87AC6"/>
    <w:rsid w:val="00F87E6E"/>
    <w:rsid w:val="00F9745D"/>
    <w:rsid w:val="00F979AC"/>
    <w:rsid w:val="00FA59B3"/>
    <w:rsid w:val="00FA6353"/>
    <w:rsid w:val="00FB32DE"/>
    <w:rsid w:val="00FB7A50"/>
    <w:rsid w:val="00FC0DF5"/>
    <w:rsid w:val="00FC44B5"/>
    <w:rsid w:val="00FC6127"/>
    <w:rsid w:val="00FC7A4D"/>
    <w:rsid w:val="00FD08A0"/>
    <w:rsid w:val="00FD2E42"/>
    <w:rsid w:val="00FD4AA6"/>
    <w:rsid w:val="00FE0183"/>
    <w:rsid w:val="00FE2B9E"/>
    <w:rsid w:val="00FE6555"/>
    <w:rsid w:val="00FE6C9A"/>
    <w:rsid w:val="00FF4D7B"/>
    <w:rsid w:val="00FF51E1"/>
    <w:rsid w:val="01010811"/>
    <w:rsid w:val="049D16E9"/>
    <w:rsid w:val="23353832"/>
    <w:rsid w:val="28010ED4"/>
    <w:rsid w:val="2C985C00"/>
    <w:rsid w:val="36BF5619"/>
    <w:rsid w:val="70994829"/>
    <w:rsid w:val="717B7BCB"/>
    <w:rsid w:val="78850D35"/>
    <w:rsid w:val="7A4138BD"/>
    <w:rsid w:val="7FFFB180"/>
    <w:rsid w:val="DDCF42C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character" w:default="1" w:styleId="10">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3">
    <w:name w:val="Body Text Indent"/>
    <w:basedOn w:val="1"/>
    <w:qFormat/>
    <w:uiPriority w:val="0"/>
    <w:pPr>
      <w:widowControl/>
      <w:spacing w:before="100" w:beforeAutospacing="1" w:after="100" w:afterAutospacing="1"/>
      <w:jc w:val="left"/>
    </w:pPr>
    <w:rPr>
      <w:rFonts w:ascii="宋体" w:hAnsi="宋体" w:cs="宋体"/>
      <w:kern w:val="0"/>
      <w:sz w:val="24"/>
    </w:rPr>
  </w:style>
  <w:style w:type="paragraph" w:styleId="4">
    <w:name w:val="Body Text Indent 2"/>
    <w:basedOn w:val="1"/>
    <w:qFormat/>
    <w:uiPriority w:val="0"/>
    <w:pPr>
      <w:widowControl/>
      <w:spacing w:before="100" w:beforeAutospacing="1" w:after="100" w:afterAutospacing="1"/>
      <w:jc w:val="left"/>
    </w:pPr>
    <w:rPr>
      <w:rFonts w:ascii="宋体" w:hAnsi="宋体" w:cs="宋体"/>
      <w:kern w:val="0"/>
      <w:sz w:val="24"/>
    </w:rPr>
  </w:style>
  <w:style w:type="paragraph" w:styleId="5">
    <w:name w:val="Balloon Text"/>
    <w:basedOn w:val="1"/>
    <w:semiHidden/>
    <w:qFormat/>
    <w:uiPriority w:val="0"/>
    <w:rPr>
      <w:sz w:val="18"/>
      <w:szCs w:val="18"/>
    </w:rPr>
  </w:style>
  <w:style w:type="paragraph" w:styleId="6">
    <w:name w:val="footer"/>
    <w:basedOn w:val="1"/>
    <w:uiPriority w:val="0"/>
    <w:pPr>
      <w:tabs>
        <w:tab w:val="center" w:pos="4153"/>
        <w:tab w:val="right" w:pos="8306"/>
      </w:tabs>
      <w:snapToGrid w:val="0"/>
      <w:jc w:val="left"/>
    </w:pPr>
    <w:rPr>
      <w:sz w:val="18"/>
      <w:szCs w:val="18"/>
    </w:rPr>
  </w:style>
  <w:style w:type="paragraph" w:styleId="7">
    <w:name w:val="header"/>
    <w:basedOn w:val="1"/>
    <w:uiPriority w:val="0"/>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1">
    <w:name w:val="Strong"/>
    <w:qFormat/>
    <w:uiPriority w:val="0"/>
    <w:rPr>
      <w:b/>
      <w:bCs/>
    </w:rPr>
  </w:style>
  <w:style w:type="character" w:styleId="12">
    <w:name w:val="Hyperlink"/>
    <w:qFormat/>
    <w:uiPriority w:val="0"/>
    <w:rPr>
      <w:color w:val="0068B7"/>
      <w:u w:val="none"/>
    </w:rPr>
  </w:style>
  <w:style w:type="character" w:customStyle="1" w:styleId="13">
    <w:name w:val="141"/>
    <w:qFormat/>
    <w:uiPriority w:val="0"/>
    <w:rPr>
      <w:sz w:val="21"/>
      <w:szCs w:val="21"/>
    </w:rPr>
  </w:style>
  <w:style w:type="character" w:customStyle="1" w:styleId="14">
    <w:name w:val="ztag pre"/>
    <w:basedOn w:val="10"/>
    <w:qFormat/>
    <w:uiPriority w:val="0"/>
  </w:style>
  <w:style w:type="character" w:customStyle="1" w:styleId="15">
    <w:name w:val="已访问的超链接1"/>
    <w:qFormat/>
    <w:uiPriority w:val="0"/>
    <w:rPr>
      <w:color w:val="800080"/>
      <w:u w:val="single"/>
    </w:rPr>
  </w:style>
  <w:style w:type="paragraph" w:customStyle="1" w:styleId="16">
    <w:name w:val="列表段落1"/>
    <w:basedOn w:val="1"/>
    <w:qFormat/>
    <w:uiPriority w:val="34"/>
    <w:pPr>
      <w:ind w:firstLine="420" w:firstLineChars="200"/>
    </w:pPr>
  </w:style>
  <w:style w:type="paragraph" w:customStyle="1" w:styleId="17">
    <w:name w:val="List Paragraph"/>
    <w:basedOn w:val="1"/>
    <w:qFormat/>
    <w:uiPriority w:val="34"/>
    <w:pPr>
      <w:ind w:firstLine="420" w:firstLineChars="200"/>
    </w:pPr>
  </w:style>
  <w:style w:type="character" w:customStyle="1" w:styleId="18">
    <w:name w:val="Unresolved Mention"/>
    <w:basedOn w:val="10"/>
    <w:unhideWhenUsed/>
    <w:qFormat/>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597</Words>
  <Characters>3406</Characters>
  <Lines>28</Lines>
  <Paragraphs>7</Paragraphs>
  <TotalTime>0</TotalTime>
  <ScaleCrop>false</ScaleCrop>
  <LinksUpToDate>false</LinksUpToDate>
  <CharactersWithSpaces>3996</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2016-12-17T02:46:00Z</dcterms:created>
  <dc:creator>全美国际教育协会</dc:creator>
  <cp:lastModifiedBy>USIEA-Melody</cp:lastModifiedBy>
  <cp:lastPrinted>2011-12-17T08:54:00Z</cp:lastPrinted>
  <dcterms:modified xsi:type="dcterms:W3CDTF">2019-08-21T08:10:10Z</dcterms:modified>
  <dc:title>加州大学河滨分校短期访学项目</dc:title>
  <cp:revision>62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