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right"/>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drawing>
          <wp:inline distT="0" distB="0" distL="0" distR="0">
            <wp:extent cx="857250" cy="299720"/>
            <wp:effectExtent l="0" t="0" r="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2585" cy="301511"/>
                    </a:xfrm>
                    <a:prstGeom prst="rect">
                      <a:avLst/>
                    </a:prstGeom>
                  </pic:spPr>
                </pic:pic>
              </a:graphicData>
            </a:graphic>
          </wp:inline>
        </w:drawing>
      </w:r>
    </w:p>
    <w:p>
      <w:pPr>
        <w:widowControl/>
        <w:spacing w:line="360" w:lineRule="auto"/>
        <w:jc w:val="center"/>
        <w:rPr>
          <w:rFonts w:asciiTheme="minorHAnsi" w:hAnsiTheme="minorHAnsi" w:eastAsiaTheme="majorEastAsia" w:cstheme="minorHAnsi"/>
          <w:b/>
          <w:kern w:val="0"/>
          <w:sz w:val="32"/>
          <w:szCs w:val="21"/>
        </w:rPr>
      </w:pPr>
    </w:p>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美国宾夕法尼亚</w:t>
      </w:r>
      <w:r>
        <w:rPr>
          <w:rFonts w:asciiTheme="minorHAnsi" w:hAnsiTheme="minorHAnsi" w:eastAsiaTheme="majorEastAsia" w:cstheme="minorHAnsi"/>
          <w:b/>
          <w:kern w:val="0"/>
          <w:sz w:val="32"/>
          <w:szCs w:val="21"/>
        </w:rPr>
        <w:t>大学</w:t>
      </w:r>
    </w:p>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2020春季访学</w:t>
      </w:r>
      <w:r>
        <w:rPr>
          <w:rFonts w:asciiTheme="minorHAnsi" w:hAnsiTheme="minorHAnsi" w:eastAsiaTheme="majorEastAsia" w:cstheme="minorHAnsi"/>
          <w:b/>
          <w:kern w:val="0"/>
          <w:sz w:val="32"/>
          <w:szCs w:val="21"/>
        </w:rPr>
        <w:t>项目</w:t>
      </w:r>
      <w:r>
        <w:rPr>
          <w:rFonts w:hint="eastAsia" w:asciiTheme="minorHAnsi" w:hAnsiTheme="minorHAnsi" w:eastAsiaTheme="majorEastAsia" w:cstheme="minorHAnsi"/>
          <w:b/>
          <w:kern w:val="0"/>
          <w:sz w:val="32"/>
          <w:szCs w:val="21"/>
        </w:rPr>
        <w:t xml:space="preserve"> </w:t>
      </w:r>
    </w:p>
    <w:p>
      <w:pPr>
        <w:widowControl/>
        <w:spacing w:line="360" w:lineRule="auto"/>
        <w:jc w:val="center"/>
        <w:rPr>
          <w:rFonts w:asciiTheme="minorHAnsi" w:hAnsiTheme="minorHAnsi" w:eastAsiaTheme="majorEastAsia" w:cstheme="minorHAnsi"/>
          <w:sz w:val="28"/>
          <w:szCs w:val="28"/>
        </w:rPr>
      </w:pPr>
      <w:r>
        <w:rPr>
          <w:rFonts w:hint="eastAsia" w:asciiTheme="minorHAnsi" w:hAnsiTheme="minorHAnsi" w:eastAsiaTheme="majorEastAsia" w:cstheme="minorHAnsi"/>
          <w:sz w:val="28"/>
          <w:szCs w:val="28"/>
        </w:rPr>
        <w:t>University of Pennsylvania</w:t>
      </w:r>
    </w:p>
    <w:p>
      <w:pPr>
        <w:widowControl/>
        <w:spacing w:line="360" w:lineRule="auto"/>
        <w:jc w:val="center"/>
        <w:rPr>
          <w:rFonts w:cs="Calibri" w:asciiTheme="minorHAnsi" w:hAnsiTheme="minorHAnsi"/>
          <w:b w:val="0"/>
          <w:bCs/>
          <w:kern w:val="0"/>
          <w:szCs w:val="21"/>
        </w:rPr>
      </w:pPr>
      <w:r>
        <w:rPr>
          <w:rFonts w:hint="eastAsia" w:cs="Calibri" w:asciiTheme="minorHAnsi" w:hAnsiTheme="minorHAnsi"/>
          <w:b w:val="0"/>
          <w:bCs/>
          <w:kern w:val="0"/>
          <w:szCs w:val="21"/>
        </w:rPr>
        <w:t>专业学分课程：</w:t>
      </w:r>
      <w:r>
        <w:rPr>
          <w:rFonts w:cs="Calibri" w:asciiTheme="minorHAnsi" w:hAnsiTheme="minorHAnsi"/>
          <w:b w:val="0"/>
          <w:bCs/>
          <w:kern w:val="0"/>
          <w:szCs w:val="21"/>
        </w:rPr>
        <w:t>20</w:t>
      </w:r>
      <w:r>
        <w:rPr>
          <w:rFonts w:hint="eastAsia" w:cs="Calibri" w:asciiTheme="minorHAnsi" w:hAnsiTheme="minorHAnsi"/>
          <w:b w:val="0"/>
          <w:bCs/>
          <w:kern w:val="0"/>
          <w:szCs w:val="21"/>
        </w:rPr>
        <w:t>20</w:t>
      </w:r>
      <w:r>
        <w:rPr>
          <w:rFonts w:cs="Calibri" w:asciiTheme="minorHAnsi" w:hAnsiTheme="minorHAnsi"/>
          <w:b w:val="0"/>
          <w:bCs/>
          <w:kern w:val="0"/>
          <w:szCs w:val="21"/>
        </w:rPr>
        <w:t>年</w:t>
      </w:r>
      <w:r>
        <w:rPr>
          <w:rFonts w:hint="eastAsia" w:cs="Calibri" w:asciiTheme="minorHAnsi" w:hAnsiTheme="minorHAnsi"/>
          <w:b w:val="0"/>
          <w:bCs/>
          <w:kern w:val="0"/>
          <w:szCs w:val="21"/>
        </w:rPr>
        <w:t xml:space="preserve">1月15日 </w:t>
      </w:r>
      <w:r>
        <w:rPr>
          <w:rFonts w:cs="Calibri" w:asciiTheme="minorHAnsi" w:hAnsiTheme="minorHAnsi"/>
          <w:b w:val="0"/>
          <w:bCs/>
          <w:kern w:val="0"/>
          <w:szCs w:val="21"/>
        </w:rPr>
        <w:t xml:space="preserve">– </w:t>
      </w:r>
      <w:r>
        <w:rPr>
          <w:rFonts w:hint="eastAsia" w:cs="Calibri" w:asciiTheme="minorHAnsi" w:hAnsiTheme="minorHAnsi"/>
          <w:b w:val="0"/>
          <w:bCs/>
          <w:kern w:val="0"/>
          <w:szCs w:val="21"/>
        </w:rPr>
        <w:t>5月12日</w:t>
      </w:r>
    </w:p>
    <w:p>
      <w:pPr>
        <w:widowControl/>
        <w:spacing w:line="360" w:lineRule="auto"/>
        <w:jc w:val="center"/>
        <w:rPr>
          <w:rFonts w:asciiTheme="minorHAnsi" w:hAnsiTheme="minorHAnsi" w:cstheme="minorHAnsi"/>
          <w:b w:val="0"/>
          <w:bCs/>
          <w:kern w:val="0"/>
          <w:szCs w:val="21"/>
        </w:rPr>
      </w:pPr>
      <w:r>
        <w:rPr>
          <w:rFonts w:hint="eastAsia" w:cs="Calibri" w:asciiTheme="minorHAnsi" w:hAnsiTheme="minorHAnsi"/>
          <w:b w:val="0"/>
          <w:bCs/>
          <w:kern w:val="0"/>
          <w:szCs w:val="21"/>
        </w:rPr>
        <w:t>强化英语项目：2020年2月27日 -</w:t>
      </w:r>
      <w:r>
        <w:rPr>
          <w:rFonts w:cs="Calibri" w:asciiTheme="minorHAnsi" w:hAnsiTheme="minorHAnsi"/>
          <w:b w:val="0"/>
          <w:bCs/>
          <w:kern w:val="0"/>
          <w:szCs w:val="21"/>
        </w:rPr>
        <w:t xml:space="preserve"> </w:t>
      </w:r>
      <w:r>
        <w:rPr>
          <w:rFonts w:hint="eastAsia" w:cs="Calibri" w:asciiTheme="minorHAnsi" w:hAnsiTheme="minorHAnsi"/>
          <w:b w:val="0"/>
          <w:bCs/>
          <w:kern w:val="0"/>
          <w:szCs w:val="21"/>
        </w:rPr>
        <w:t>6月12日</w:t>
      </w:r>
    </w:p>
    <w:p>
      <w:pPr>
        <w:widowControl/>
        <w:spacing w:line="360" w:lineRule="auto"/>
        <w:jc w:val="left"/>
        <w:rPr>
          <w:rFonts w:hint="eastAsia" w:ascii="宋体" w:hAnsi="宋体" w:eastAsia="宋体" w:cs="宋体"/>
          <w:kern w:val="0"/>
          <w:sz w:val="21"/>
          <w:szCs w:val="21"/>
        </w:rPr>
      </w:pPr>
    </w:p>
    <w:p>
      <w:pPr>
        <w:widowControl/>
        <w:spacing w:line="360" w:lineRule="auto"/>
        <w:jc w:val="left"/>
        <w:rPr>
          <w:rFonts w:hint="eastAsia" w:ascii="宋体" w:hAnsi="宋体" w:eastAsia="宋体" w:cs="宋体"/>
          <w:b/>
          <w:kern w:val="0"/>
          <w:sz w:val="21"/>
          <w:szCs w:val="21"/>
        </w:rPr>
      </w:pPr>
      <w:r>
        <w:rPr>
          <w:rFonts w:hint="eastAsia" w:ascii="宋体" w:hAnsi="宋体" w:eastAsia="宋体" w:cs="宋体"/>
          <w:b/>
          <w:kern w:val="0"/>
          <w:sz w:val="21"/>
          <w:szCs w:val="21"/>
        </w:rPr>
        <w:t>一、项目综述</w:t>
      </w:r>
    </w:p>
    <w:p>
      <w:pPr>
        <w:widowControl/>
        <w:spacing w:line="360" w:lineRule="auto"/>
        <w:ind w:firstLine="420"/>
        <w:jc w:val="left"/>
        <w:rPr>
          <w:rFonts w:hint="eastAsia" w:ascii="宋体" w:hAnsi="宋体" w:eastAsia="宋体" w:cs="宋体"/>
          <w:sz w:val="21"/>
          <w:szCs w:val="21"/>
        </w:rPr>
      </w:pPr>
      <w:bookmarkStart w:id="0" w:name="_Hlk12025814"/>
      <w:r>
        <w:rPr>
          <w:rFonts w:hint="eastAsia" w:ascii="宋体" w:hAnsi="宋体" w:eastAsia="宋体" w:cs="宋体"/>
          <w:kern w:val="0"/>
          <w:sz w:val="21"/>
          <w:szCs w:val="21"/>
        </w:rPr>
        <w:t>宾夕法尼亚大学是美国历史最悠久的大学之一，与耶鲁、哈佛、普林斯顿、康乃尔等八所大学共同组成“常春藤联盟”，成为世界顶尖学府的代名词。</w:t>
      </w:r>
      <w:bookmarkEnd w:id="0"/>
      <w:r>
        <w:rPr>
          <w:rFonts w:hint="eastAsia" w:ascii="宋体" w:hAnsi="宋体" w:eastAsia="宋体" w:cs="宋体"/>
          <w:kern w:val="0"/>
          <w:sz w:val="21"/>
          <w:szCs w:val="21"/>
        </w:rPr>
        <w:t>参加2020年春季</w:t>
      </w:r>
      <w:r>
        <w:rPr>
          <w:rFonts w:hint="eastAsia" w:ascii="宋体" w:hAnsi="宋体" w:eastAsia="宋体" w:cs="宋体"/>
          <w:sz w:val="21"/>
          <w:szCs w:val="21"/>
        </w:rPr>
        <w:t>宾夕法尼亚大学访学项目的学生，根据学习目标、英语水平和专业背景的不同，可选择语言文化课程或大学专业学分课程。</w:t>
      </w:r>
    </w:p>
    <w:p>
      <w:pPr>
        <w:widowControl/>
        <w:spacing w:line="360" w:lineRule="auto"/>
        <w:ind w:left="1" w:firstLine="419"/>
        <w:jc w:val="left"/>
        <w:rPr>
          <w:rFonts w:hint="eastAsia" w:ascii="宋体" w:hAnsi="宋体" w:eastAsia="宋体" w:cs="宋体"/>
          <w:sz w:val="21"/>
          <w:szCs w:val="21"/>
        </w:rPr>
      </w:pP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全美国际教育协会作为宾夕法尼亚大学在中国的正式授权机构，负责选拔优秀中国大学生，于2020年春季前往宾夕法尼亚大学参加一学期的访问学习。</w:t>
      </w:r>
      <w:r>
        <w:rPr>
          <w:rFonts w:hint="eastAsia" w:ascii="宋体" w:hAnsi="宋体" w:eastAsia="宋体" w:cs="宋体"/>
          <w:sz w:val="21"/>
          <w:szCs w:val="21"/>
        </w:rPr>
        <w:t>参加项目的学生与宾夕法尼亚大学在读学生混合编班，由宾夕法尼亚大学进行统一的学术管理与学术考核，获得宾夕法尼亚大学正式成绩单及学习证明。</w:t>
      </w:r>
    </w:p>
    <w:p>
      <w:pPr>
        <w:widowControl/>
        <w:spacing w:line="360" w:lineRule="auto"/>
        <w:ind w:firstLine="420" w:firstLineChars="200"/>
        <w:jc w:val="left"/>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sz w:val="21"/>
          <w:szCs w:val="21"/>
        </w:rPr>
      </w:pPr>
      <w:r>
        <w:rPr>
          <w:rFonts w:hint="eastAsia" w:ascii="宋体" w:hAnsi="宋体" w:cs="宋体"/>
          <w:sz w:val="21"/>
          <w:szCs w:val="21"/>
          <w:lang w:val="en-US" w:eastAsia="zh-CN"/>
        </w:rPr>
        <w:t>2020</w:t>
      </w:r>
      <w:r>
        <w:rPr>
          <w:rFonts w:hint="eastAsia" w:ascii="宋体" w:hAnsi="宋体" w:eastAsia="宋体" w:cs="宋体"/>
          <w:sz w:val="21"/>
          <w:szCs w:val="21"/>
        </w:rPr>
        <w:t>年</w:t>
      </w:r>
      <w:r>
        <w:rPr>
          <w:rFonts w:hint="eastAsia" w:ascii="宋体" w:hAnsi="宋体" w:eastAsia="宋体" w:cs="宋体"/>
          <w:sz w:val="21"/>
          <w:szCs w:val="21"/>
          <w:lang w:val="en-US" w:eastAsia="zh-CN"/>
        </w:rPr>
        <w:t>春季宾夕法尼亚大学访学项目</w:t>
      </w:r>
      <w:r>
        <w:rPr>
          <w:rFonts w:hint="eastAsia" w:ascii="宋体" w:hAnsi="宋体" w:eastAsia="宋体" w:cs="宋体"/>
          <w:sz w:val="21"/>
          <w:szCs w:val="21"/>
        </w:rPr>
        <w:t>，我校选拔名额为</w:t>
      </w:r>
      <w:r>
        <w:rPr>
          <w:rFonts w:hint="eastAsia" w:ascii="宋体" w:hAnsi="宋体" w:eastAsia="宋体" w:cs="宋体"/>
          <w:sz w:val="21"/>
          <w:szCs w:val="21"/>
          <w:lang w:val="en-US" w:eastAsia="zh-CN"/>
        </w:rPr>
        <w:t>3</w:t>
      </w:r>
      <w:r>
        <w:rPr>
          <w:rFonts w:hint="eastAsia" w:ascii="宋体" w:hAnsi="宋体" w:eastAsia="宋体" w:cs="宋体"/>
          <w:sz w:val="21"/>
          <w:szCs w:val="21"/>
        </w:rPr>
        <w:t>名，报名截止日期为</w:t>
      </w:r>
      <w:r>
        <w:rPr>
          <w:rFonts w:hint="eastAsia" w:ascii="宋体" w:hAnsi="宋体" w:eastAsia="宋体" w:cs="宋体"/>
          <w:color w:val="auto"/>
          <w:sz w:val="21"/>
          <w:szCs w:val="21"/>
          <w:highlight w:val="yellow"/>
        </w:rPr>
        <w:t>201</w:t>
      </w:r>
      <w:r>
        <w:rPr>
          <w:rFonts w:hint="eastAsia" w:ascii="宋体" w:hAnsi="宋体" w:eastAsia="宋体" w:cs="宋体"/>
          <w:color w:val="auto"/>
          <w:sz w:val="21"/>
          <w:szCs w:val="21"/>
          <w:highlight w:val="yellow"/>
          <w:lang w:val="en-US" w:eastAsia="zh-CN"/>
        </w:rPr>
        <w:t>9</w:t>
      </w:r>
      <w:r>
        <w:rPr>
          <w:rFonts w:hint="eastAsia" w:ascii="宋体" w:hAnsi="宋体" w:eastAsia="宋体" w:cs="宋体"/>
          <w:color w:val="auto"/>
          <w:sz w:val="21"/>
          <w:szCs w:val="21"/>
          <w:highlight w:val="yellow"/>
        </w:rPr>
        <w:t>年</w:t>
      </w:r>
      <w:r>
        <w:rPr>
          <w:rFonts w:hint="eastAsia" w:ascii="宋体" w:hAnsi="宋体" w:eastAsia="宋体" w:cs="宋体"/>
          <w:color w:val="auto"/>
          <w:sz w:val="21"/>
          <w:szCs w:val="21"/>
          <w:highlight w:val="yellow"/>
          <w:lang w:val="en-US" w:eastAsia="zh-CN"/>
        </w:rPr>
        <w:t>10</w:t>
      </w:r>
      <w:r>
        <w:rPr>
          <w:rFonts w:hint="eastAsia" w:ascii="宋体" w:hAnsi="宋体" w:eastAsia="宋体" w:cs="宋体"/>
          <w:color w:val="auto"/>
          <w:sz w:val="21"/>
          <w:szCs w:val="21"/>
          <w:highlight w:val="yellow"/>
        </w:rPr>
        <w:t>月</w:t>
      </w:r>
      <w:r>
        <w:rPr>
          <w:rFonts w:hint="eastAsia" w:ascii="宋体" w:hAnsi="宋体" w:eastAsia="宋体" w:cs="宋体"/>
          <w:color w:val="auto"/>
          <w:sz w:val="21"/>
          <w:szCs w:val="21"/>
          <w:highlight w:val="yellow"/>
          <w:lang w:val="en-US" w:eastAsia="zh-CN"/>
        </w:rPr>
        <w:t>30</w:t>
      </w:r>
      <w:r>
        <w:rPr>
          <w:rFonts w:hint="eastAsia" w:ascii="宋体" w:hAnsi="宋体" w:eastAsia="宋体" w:cs="宋体"/>
          <w:color w:val="auto"/>
          <w:sz w:val="21"/>
          <w:szCs w:val="21"/>
          <w:highlight w:val="yellow"/>
        </w:rPr>
        <w:t>日</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sz w:val="21"/>
          <w:szCs w:val="21"/>
          <w:shd w:val="clear" w:color="auto" w:fill="FFFFFF"/>
        </w:rPr>
        <w:t>项目将会在全国范围内启动选拔，一旦录满，即刻停止报名。</w:t>
      </w:r>
    </w:p>
    <w:p>
      <w:pPr>
        <w:widowControl/>
        <w:spacing w:line="360" w:lineRule="auto"/>
        <w:ind w:firstLine="420" w:firstLineChars="200"/>
        <w:jc w:val="left"/>
        <w:rPr>
          <w:rFonts w:hint="eastAsia" w:ascii="宋体" w:hAnsi="宋体" w:eastAsia="宋体" w:cs="宋体"/>
          <w:sz w:val="21"/>
          <w:szCs w:val="21"/>
        </w:rPr>
      </w:pPr>
    </w:p>
    <w:p>
      <w:pPr>
        <w:widowControl/>
        <w:spacing w:line="360" w:lineRule="auto"/>
        <w:jc w:val="left"/>
        <w:rPr>
          <w:rFonts w:hint="eastAsia" w:ascii="宋体" w:hAnsi="宋体" w:eastAsia="宋体" w:cs="宋体"/>
          <w:b/>
          <w:sz w:val="21"/>
          <w:szCs w:val="21"/>
        </w:rPr>
      </w:pPr>
      <w:r>
        <w:rPr>
          <w:rFonts w:hint="eastAsia" w:ascii="宋体" w:hAnsi="宋体" w:eastAsia="宋体" w:cs="宋体"/>
          <w:b/>
          <w:kern w:val="0"/>
          <w:sz w:val="21"/>
          <w:szCs w:val="21"/>
        </w:rPr>
        <w:t>二、</w:t>
      </w:r>
      <w:r>
        <w:rPr>
          <w:rFonts w:hint="eastAsia" w:ascii="宋体" w:hAnsi="宋体" w:eastAsia="宋体" w:cs="宋体"/>
          <w:b/>
          <w:sz w:val="21"/>
          <w:szCs w:val="21"/>
        </w:rPr>
        <w:t>特色与优势</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【融入费城，体验常春藤院校课程】</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参加宾夕法尼亚大学顶级课程，聆听宾大卓越师资团队的授课；</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【宾夕法尼亚大学成绩单和学习证书】</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获得宾夕法尼亚大学颁发的成绩单与项目证书，为个人履历添砖加瓦；</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【和国际学生一起上课，结交各国好友】</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与来自其它国家的学生共同学习、提高跨文化沟通技能，收获知识与友谊；</w:t>
      </w:r>
    </w:p>
    <w:p>
      <w:pPr>
        <w:pStyle w:val="19"/>
        <w:widowControl/>
        <w:numPr>
          <w:ilvl w:val="0"/>
          <w:numId w:val="0"/>
        </w:numPr>
        <w:spacing w:line="360" w:lineRule="auto"/>
        <w:ind w:left="420" w:leftChars="0"/>
        <w:jc w:val="left"/>
        <w:rPr>
          <w:rFonts w:hint="eastAsia" w:ascii="宋体" w:hAnsi="宋体" w:eastAsia="宋体" w:cs="宋体"/>
          <w:sz w:val="21"/>
          <w:szCs w:val="21"/>
        </w:rPr>
      </w:pPr>
      <w:bookmarkStart w:id="1" w:name="_Hlk12026159"/>
      <w:r>
        <w:rPr>
          <w:rFonts w:hint="eastAsia" w:ascii="宋体" w:hAnsi="宋体" w:eastAsia="宋体" w:cs="宋体"/>
          <w:sz w:val="21"/>
          <w:szCs w:val="21"/>
        </w:rPr>
        <w:t xml:space="preserve">【尽享校园设施与资源】 </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获得宾夕法尼亚大学学生证，按校方规定充分享受各类校园设施与教育资源；</w:t>
      </w:r>
    </w:p>
    <w:bookmarkEnd w:id="1"/>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drawing>
          <wp:anchor distT="0" distB="0" distL="114300" distR="114300" simplePos="0" relativeHeight="251697152" behindDoc="0" locked="0" layoutInCell="1" allowOverlap="1">
            <wp:simplePos x="0" y="0"/>
            <wp:positionH relativeFrom="column">
              <wp:posOffset>133350</wp:posOffset>
            </wp:positionH>
            <wp:positionV relativeFrom="paragraph">
              <wp:posOffset>774065</wp:posOffset>
            </wp:positionV>
            <wp:extent cx="5314950" cy="220980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314950" cy="2209800"/>
                    </a:xfrm>
                    <a:prstGeom prst="rect">
                      <a:avLst/>
                    </a:prstGeom>
                  </pic:spPr>
                </pic:pic>
              </a:graphicData>
            </a:graphic>
          </wp:anchor>
        </w:drawing>
      </w:r>
      <w:r>
        <w:rPr>
          <w:rFonts w:hint="eastAsia" w:ascii="宋体" w:hAnsi="宋体" w:eastAsia="宋体" w:cs="宋体"/>
          <w:sz w:val="21"/>
          <w:szCs w:val="21"/>
        </w:rPr>
        <w:t>【丰富的课外生活安排，Work Hard, Play Harder】</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丰富多彩的美利坚文化体验，畅游费城等。</w:t>
      </w:r>
    </w:p>
    <w:p>
      <w:pPr>
        <w:pStyle w:val="19"/>
        <w:widowControl/>
        <w:spacing w:line="360" w:lineRule="auto"/>
        <w:ind w:firstLine="0" w:firstLineChars="0"/>
        <w:jc w:val="left"/>
        <w:rPr>
          <w:rFonts w:hint="eastAsia" w:ascii="宋体" w:hAnsi="宋体" w:eastAsia="宋体" w:cs="宋体"/>
          <w:b/>
          <w:bCs/>
          <w:kern w:val="0"/>
          <w:sz w:val="21"/>
          <w:szCs w:val="21"/>
        </w:rPr>
      </w:pPr>
    </w:p>
    <w:p>
      <w:pPr>
        <w:pStyle w:val="19"/>
        <w:widowControl/>
        <w:spacing w:line="360" w:lineRule="auto"/>
        <w:ind w:firstLine="0" w:firstLineChars="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三、宾夕法尼亚大学简介</w:t>
      </w:r>
    </w:p>
    <w:p>
      <w:pPr>
        <w:pStyle w:val="19"/>
        <w:widowControl/>
        <w:numPr>
          <w:ilvl w:val="0"/>
          <w:numId w:val="1"/>
        </w:numPr>
        <w:spacing w:line="360" w:lineRule="auto"/>
        <w:ind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创建于1740年，位于美国的历史名城费城，是美国第四古老的高等教育机构，也是美国第一所现代意义上的大学，创立了北美第一所医学院、第一所商学院（沃顿商学院）以及第一个学生会组织；</w:t>
      </w:r>
    </w:p>
    <w:p>
      <w:pPr>
        <w:pStyle w:val="19"/>
        <w:widowControl/>
        <w:numPr>
          <w:ilvl w:val="0"/>
          <w:numId w:val="1"/>
        </w:numPr>
        <w:spacing w:line="360" w:lineRule="auto"/>
        <w:ind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与耶鲁、哈佛、普林斯顿、康乃尔等八所大学共同组成“常春藤联盟(Ivy League)”，成为世界顶尖学府的代名词；</w:t>
      </w:r>
    </w:p>
    <w:p>
      <w:pPr>
        <w:pStyle w:val="19"/>
        <w:widowControl/>
        <w:numPr>
          <w:ilvl w:val="0"/>
          <w:numId w:val="1"/>
        </w:numPr>
        <w:spacing w:line="360" w:lineRule="auto"/>
        <w:ind w:firstLineChars="0"/>
        <w:jc w:val="left"/>
        <w:rPr>
          <w:rFonts w:hint="eastAsia" w:ascii="宋体" w:hAnsi="宋体" w:eastAsia="宋体" w:cs="宋体"/>
          <w:sz w:val="21"/>
          <w:szCs w:val="21"/>
        </w:rPr>
      </w:pPr>
      <w:r>
        <w:rPr>
          <w:rFonts w:hint="eastAsia" w:ascii="宋体" w:hAnsi="宋体" w:eastAsia="宋体" w:cs="宋体"/>
          <w:sz w:val="21"/>
          <w:szCs w:val="21"/>
        </w:rPr>
        <w:t xml:space="preserve">2019年 </w:t>
      </w:r>
      <w:r>
        <w:rPr>
          <w:rFonts w:hint="eastAsia" w:ascii="宋体" w:hAnsi="宋体" w:eastAsia="宋体" w:cs="宋体"/>
          <w:kern w:val="0"/>
          <w:sz w:val="21"/>
          <w:szCs w:val="21"/>
        </w:rPr>
        <w:t>《美国新闻与世界报道》全</w:t>
      </w:r>
      <w:r>
        <w:rPr>
          <w:rFonts w:hint="eastAsia" w:ascii="宋体" w:hAnsi="宋体" w:eastAsia="宋体" w:cs="宋体"/>
          <w:sz w:val="21"/>
          <w:szCs w:val="21"/>
        </w:rPr>
        <w:t xml:space="preserve">美高校综合排名第8、世界大学排名第16；2019年Times世界大学排名第12；2018年上海交通大学全球高校学术排名第18； </w:t>
      </w:r>
    </w:p>
    <w:p>
      <w:pPr>
        <w:pStyle w:val="19"/>
        <w:widowControl/>
        <w:numPr>
          <w:ilvl w:val="0"/>
          <w:numId w:val="1"/>
        </w:numPr>
        <w:spacing w:line="360" w:lineRule="auto"/>
        <w:ind w:firstLineChars="0"/>
        <w:jc w:val="left"/>
        <w:rPr>
          <w:rFonts w:hint="eastAsia" w:ascii="宋体" w:hAnsi="宋体" w:eastAsia="宋体" w:cs="宋体"/>
          <w:color w:val="333333"/>
          <w:sz w:val="21"/>
          <w:szCs w:val="21"/>
          <w:shd w:val="clear" w:color="auto" w:fill="FFFFFF"/>
        </w:rPr>
      </w:pPr>
      <w:r>
        <w:rPr>
          <w:rFonts w:hint="eastAsia" w:ascii="宋体" w:hAnsi="宋体" w:eastAsia="宋体" w:cs="宋体"/>
          <w:sz w:val="21"/>
          <w:szCs w:val="21"/>
        </w:rPr>
        <w:t>下设四个大本科生院：文理学院、工程学院、商学院及护理学院。</w:t>
      </w:r>
      <w:r>
        <w:rPr>
          <w:rFonts w:hint="eastAsia" w:ascii="宋体" w:hAnsi="宋体" w:eastAsia="宋体" w:cs="宋体"/>
          <w:kern w:val="0"/>
          <w:sz w:val="21"/>
          <w:szCs w:val="21"/>
        </w:rPr>
        <w:t>金融专业和护理专业排名全美第一，教育学、经济学、医疗、历史学、法学、英语及商科其它专业皆排名全美前十。</w:t>
      </w:r>
    </w:p>
    <w:p>
      <w:pPr>
        <w:pStyle w:val="19"/>
        <w:widowControl/>
        <w:numPr>
          <w:ilvl w:val="0"/>
          <w:numId w:val="0"/>
        </w:numPr>
        <w:spacing w:line="360" w:lineRule="auto"/>
        <w:ind w:left="420" w:leftChars="0"/>
        <w:jc w:val="left"/>
        <w:rPr>
          <w:rFonts w:hint="eastAsia" w:ascii="宋体" w:hAnsi="宋体" w:eastAsia="宋体" w:cs="宋体"/>
          <w:kern w:val="0"/>
          <w:sz w:val="21"/>
          <w:szCs w:val="21"/>
        </w:rPr>
      </w:pPr>
    </w:p>
    <w:p>
      <w:pPr>
        <w:pStyle w:val="19"/>
        <w:widowControl/>
        <w:numPr>
          <w:ilvl w:val="0"/>
          <w:numId w:val="0"/>
        </w:numPr>
        <w:spacing w:line="360" w:lineRule="auto"/>
        <w:ind w:left="420" w:leftChars="0"/>
        <w:jc w:val="left"/>
        <w:rPr>
          <w:rFonts w:hint="eastAsia" w:ascii="宋体" w:hAnsi="宋体" w:eastAsia="宋体" w:cs="宋体"/>
          <w:kern w:val="0"/>
          <w:sz w:val="21"/>
          <w:szCs w:val="21"/>
        </w:rPr>
      </w:pPr>
    </w:p>
    <w:p>
      <w:pPr>
        <w:pStyle w:val="19"/>
        <w:widowControl/>
        <w:spacing w:line="360" w:lineRule="auto"/>
        <w:ind w:firstLine="0" w:firstLineChars="0"/>
        <w:jc w:val="left"/>
        <w:rPr>
          <w:rFonts w:hint="eastAsia" w:ascii="宋体" w:hAnsi="宋体" w:eastAsia="宋体" w:cs="宋体"/>
          <w:b/>
          <w:kern w:val="0"/>
          <w:sz w:val="21"/>
          <w:szCs w:val="21"/>
        </w:rPr>
      </w:pPr>
      <w:r>
        <w:rPr>
          <w:rFonts w:hint="eastAsia" w:ascii="宋体" w:hAnsi="宋体" w:eastAsia="宋体" w:cs="宋体"/>
          <w:b/>
          <w:kern w:val="0"/>
          <w:sz w:val="21"/>
          <w:szCs w:val="21"/>
        </w:rPr>
        <w:t>四、项目详情</w:t>
      </w:r>
    </w:p>
    <w:p>
      <w:pPr>
        <w:widowControl/>
        <w:spacing w:line="360" w:lineRule="auto"/>
        <w:jc w:val="left"/>
        <w:rPr>
          <w:rFonts w:hint="eastAsia" w:ascii="宋体" w:hAnsi="宋体" w:eastAsia="宋体" w:cs="宋体"/>
          <w:sz w:val="21"/>
          <w:szCs w:val="21"/>
          <w:u w:val="single"/>
        </w:rPr>
      </w:pPr>
      <w:r>
        <w:rPr>
          <w:rFonts w:hint="eastAsia" w:ascii="宋体" w:hAnsi="宋体" w:eastAsia="宋体" w:cs="宋体"/>
          <w:sz w:val="21"/>
          <w:szCs w:val="21"/>
        </w:rPr>
        <w:t>第一类：语言文化课程</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课程日期</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2020年2月27日 — 6月12日</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课程内容</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宾夕法尼亚大学语言中心隶属于宾大文理学院，成立于1960年，50多年来积累了丰富英语教学的经验。 每年有来自世界各地2000多名学生在此学习，中国学生比例仅为7%左右。</w:t>
      </w:r>
      <w:r>
        <w:rPr>
          <w:rFonts w:hint="eastAsia" w:ascii="宋体" w:hAnsi="宋体" w:eastAsia="宋体" w:cs="宋体"/>
          <w:sz w:val="21"/>
          <w:szCs w:val="21"/>
        </w:rPr>
        <w:t>通过</w:t>
      </w:r>
      <w:r>
        <w:rPr>
          <w:rFonts w:hint="eastAsia" w:ascii="宋体" w:hAnsi="宋体" w:eastAsia="宋体" w:cs="宋体"/>
          <w:kern w:val="0"/>
          <w:sz w:val="21"/>
          <w:szCs w:val="21"/>
        </w:rPr>
        <w:t>与来自世界各地的同学一起学习，项目学生能够快速提高英语应用能力与沟通交流能力，同时了解美国社会，增进对不同文化的认识和理解，提高自身的创新意识和国际意识。</w:t>
      </w:r>
    </w:p>
    <w:p>
      <w:pPr>
        <w:spacing w:line="360" w:lineRule="auto"/>
        <w:rPr>
          <w:rFonts w:hint="eastAsia" w:ascii="宋体" w:hAnsi="宋体" w:eastAsia="宋体" w:cs="宋体"/>
          <w:sz w:val="21"/>
          <w:szCs w:val="21"/>
        </w:rPr>
      </w:pPr>
      <w:r>
        <w:rPr>
          <w:rFonts w:hint="eastAsia" w:ascii="宋体" w:hAnsi="宋体" w:eastAsia="宋体" w:cs="宋体"/>
          <w:sz w:val="21"/>
          <w:szCs w:val="21"/>
        </w:rPr>
        <w:t>宾大的强化英语课程（Intensive Program）适合不同英语水平的学生，每周20小时的课堂学习。课程分为必修课和选修课。必修课从听说读写、语言、词汇全方面提高学生的语言使用能力，选修课则从单项技能或特定领域方面提高学生的语言能力。学生入学时需参加分班测试，决定适合自己的级别：</w:t>
      </w:r>
    </w:p>
    <w:p>
      <w:pPr>
        <w:pStyle w:val="19"/>
        <w:numPr>
          <w:ilvl w:val="0"/>
          <w:numId w:val="2"/>
        </w:numPr>
        <w:spacing w:line="360" w:lineRule="auto"/>
        <w:ind w:firstLine="6" w:firstLineChars="0"/>
        <w:rPr>
          <w:rFonts w:hint="eastAsia" w:ascii="宋体" w:hAnsi="宋体" w:eastAsia="宋体" w:cs="宋体"/>
          <w:sz w:val="21"/>
          <w:szCs w:val="21"/>
        </w:rPr>
      </w:pPr>
      <w:r>
        <w:rPr>
          <w:rFonts w:hint="eastAsia" w:ascii="宋体" w:hAnsi="宋体" w:eastAsia="宋体" w:cs="宋体"/>
          <w:sz w:val="21"/>
          <w:szCs w:val="21"/>
        </w:rPr>
        <w:t>初级（100-500）：只能修读必修课</w:t>
      </w:r>
    </w:p>
    <w:p>
      <w:pPr>
        <w:pStyle w:val="19"/>
        <w:numPr>
          <w:ilvl w:val="0"/>
          <w:numId w:val="2"/>
        </w:numPr>
        <w:spacing w:line="360" w:lineRule="auto"/>
        <w:ind w:firstLine="6" w:firstLineChars="0"/>
        <w:rPr>
          <w:rFonts w:hint="eastAsia" w:ascii="宋体" w:hAnsi="宋体" w:eastAsia="宋体" w:cs="宋体"/>
          <w:sz w:val="21"/>
          <w:szCs w:val="21"/>
        </w:rPr>
      </w:pPr>
      <w:r>
        <w:rPr>
          <w:rFonts w:hint="eastAsia" w:ascii="宋体" w:hAnsi="宋体" w:eastAsia="宋体" w:cs="宋体"/>
          <w:sz w:val="21"/>
          <w:szCs w:val="21"/>
        </w:rPr>
        <w:t>中级（600-700）：可修读1门必修课和2门选修课</w:t>
      </w:r>
    </w:p>
    <w:p>
      <w:pPr>
        <w:pStyle w:val="19"/>
        <w:numPr>
          <w:ilvl w:val="0"/>
          <w:numId w:val="2"/>
        </w:numPr>
        <w:spacing w:line="360" w:lineRule="auto"/>
        <w:ind w:firstLine="6" w:firstLineChars="0"/>
        <w:rPr>
          <w:rFonts w:hint="eastAsia" w:ascii="宋体" w:hAnsi="宋体" w:eastAsia="宋体" w:cs="宋体"/>
          <w:sz w:val="21"/>
          <w:szCs w:val="21"/>
        </w:rPr>
      </w:pPr>
      <w:r>
        <w:rPr>
          <w:rFonts w:hint="eastAsia" w:ascii="宋体" w:hAnsi="宋体" w:eastAsia="宋体" w:cs="宋体"/>
          <w:sz w:val="21"/>
          <w:szCs w:val="21"/>
        </w:rPr>
        <w:t>高级（800）：可从30多门选修课程中选择4门</w:t>
      </w:r>
    </w:p>
    <w:p>
      <w:pPr>
        <w:spacing w:line="360" w:lineRule="auto"/>
        <w:rPr>
          <w:rFonts w:hint="eastAsia" w:ascii="宋体" w:hAnsi="宋体" w:eastAsia="宋体" w:cs="宋体"/>
          <w:sz w:val="21"/>
          <w:szCs w:val="21"/>
        </w:rPr>
      </w:pPr>
      <w:r>
        <w:rPr>
          <w:rFonts w:hint="eastAsia" w:ascii="宋体" w:hAnsi="宋体" w:eastAsia="宋体" w:cs="宋体"/>
          <w:sz w:val="21"/>
          <w:szCs w:val="21"/>
        </w:rPr>
        <w:drawing>
          <wp:anchor distT="0" distB="0" distL="114300" distR="114300" simplePos="0" relativeHeight="251685888" behindDoc="0" locked="0" layoutInCell="1" allowOverlap="1">
            <wp:simplePos x="0" y="0"/>
            <wp:positionH relativeFrom="column">
              <wp:posOffset>25400</wp:posOffset>
            </wp:positionH>
            <wp:positionV relativeFrom="paragraph">
              <wp:posOffset>995045</wp:posOffset>
            </wp:positionV>
            <wp:extent cx="5286375" cy="1920875"/>
            <wp:effectExtent l="0" t="0" r="9525" b="3175"/>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286375" cy="1920875"/>
                    </a:xfrm>
                    <a:prstGeom prst="rect">
                      <a:avLst/>
                    </a:prstGeom>
                  </pic:spPr>
                </pic:pic>
              </a:graphicData>
            </a:graphic>
          </wp:anchor>
        </w:drawing>
      </w:r>
      <w:r>
        <w:rPr>
          <w:rFonts w:hint="eastAsia" w:ascii="宋体" w:hAnsi="宋体" w:eastAsia="宋体" w:cs="宋体"/>
          <w:sz w:val="21"/>
          <w:szCs w:val="21"/>
        </w:rPr>
        <w:tab/>
      </w:r>
      <w:r>
        <w:rPr>
          <w:rFonts w:hint="eastAsia" w:ascii="宋体" w:hAnsi="宋体" w:eastAsia="宋体" w:cs="宋体"/>
          <w:sz w:val="21"/>
          <w:szCs w:val="21"/>
        </w:rPr>
        <w:t>该项目分为两个阶段：第一阶段 2020年2月27日 - 4月17日；第二阶段 4月23日 - 6月12日。完成第一阶段的学生经考评如达到要求，可以申请在第二阶段学习更高级别的强化课程。</w:t>
      </w: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第二类：大学专业学分课程</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课程日期</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2020年1月15日 – 5月12日</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课程内容</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英文标准化考试成绩达到项目要求并希望提高专业水平的同学，通过本校、全美国际教育协会、以及宾夕法尼亚大学的共同选拔后，可以与宾大本科学生一起学习与本专业相关的学分课程。</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大学专业学分课程面向本校大多数专业的学生，学生一学期需选择4门专业课，选课范围为至少两门文理学院课程，也可申请选修其他学院课程，包括沃顿商学院、工程学院和护理学院的课程。顺利完成学业后，获得宾夕法尼亚大学的正式学分和成绩单，经本校教务处获院系评估认可的学分可转为本校学分。</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drawing>
          <wp:anchor distT="0" distB="0" distL="114300" distR="114300" simplePos="0" relativeHeight="251691008" behindDoc="0" locked="0" layoutInCell="1" allowOverlap="1">
            <wp:simplePos x="0" y="0"/>
            <wp:positionH relativeFrom="column">
              <wp:posOffset>-118110</wp:posOffset>
            </wp:positionH>
            <wp:positionV relativeFrom="paragraph">
              <wp:posOffset>233680</wp:posOffset>
            </wp:positionV>
            <wp:extent cx="1447800" cy="1572895"/>
            <wp:effectExtent l="0" t="0" r="0" b="825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7800" cy="1572895"/>
                    </a:xfrm>
                    <a:prstGeom prst="rect">
                      <a:avLst/>
                    </a:prstGeom>
                  </pic:spPr>
                </pic:pic>
              </a:graphicData>
            </a:graphic>
          </wp:anchor>
        </w:drawing>
      </w:r>
    </w:p>
    <w:p>
      <w:pPr>
        <w:spacing w:line="360" w:lineRule="auto"/>
        <w:ind w:left="420" w:leftChars="200" w:firstLine="420" w:firstLineChars="200"/>
        <w:rPr>
          <w:rFonts w:hint="eastAsia" w:ascii="宋体" w:hAnsi="宋体" w:eastAsia="宋体" w:cs="宋体"/>
          <w:sz w:val="21"/>
          <w:szCs w:val="21"/>
        </w:rPr>
      </w:pPr>
      <w:r>
        <w:rPr>
          <w:rFonts w:hint="eastAsia" w:ascii="宋体" w:hAnsi="宋体" w:eastAsia="宋体" w:cs="宋体"/>
          <w:sz w:val="21"/>
          <w:szCs w:val="21"/>
        </w:rPr>
        <w:t>所有参加语言和学分课程的学生均可获得宾夕法尼亚大学正式注册的学生证，凭借学生证可在项目期内，按校方规定使用学校的校园设施与教育资源，包括图书馆、健身房、活动中心等。</w:t>
      </w:r>
    </w:p>
    <w:p>
      <w:pPr>
        <w:rPr>
          <w:rFonts w:hint="eastAsia" w:ascii="宋体" w:hAnsi="宋体" w:eastAsia="宋体" w:cs="宋体"/>
          <w:sz w:val="21"/>
          <w:szCs w:val="21"/>
        </w:rPr>
      </w:pP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项目证书</w:t>
      </w:r>
      <w:r>
        <w:rPr>
          <w:rFonts w:hint="eastAsia" w:ascii="宋体" w:hAnsi="宋体" w:eastAsia="宋体" w:cs="宋体"/>
          <w:sz w:val="21"/>
          <w:szCs w:val="21"/>
        </w:rPr>
        <w:t>】</w:t>
      </w:r>
    </w:p>
    <w:p>
      <w:pPr>
        <w:ind w:firstLine="420" w:firstLineChars="200"/>
        <w:rPr>
          <w:rFonts w:hint="eastAsia" w:ascii="宋体" w:hAnsi="宋体" w:eastAsia="宋体" w:cs="宋体"/>
          <w:sz w:val="21"/>
          <w:szCs w:val="21"/>
        </w:rPr>
      </w:pPr>
      <w:r>
        <w:rPr>
          <w:rFonts w:hint="eastAsia" w:ascii="宋体" w:hAnsi="宋体" w:eastAsia="宋体" w:cs="宋体"/>
          <w:sz w:val="21"/>
          <w:szCs w:val="21"/>
        </w:rPr>
        <w:t>顺利完成所有课程，并通过学术考核的学生，将获得宾夕法尼亚大学出具的正式成绩单及学习证明。</w:t>
      </w:r>
    </w:p>
    <w:p>
      <w:pPr>
        <w:ind w:firstLine="420" w:firstLineChars="200"/>
        <w:rPr>
          <w:rFonts w:hint="eastAsia" w:ascii="宋体" w:hAnsi="宋体" w:eastAsia="宋体" w:cs="宋体"/>
          <w:sz w:val="21"/>
          <w:szCs w:val="21"/>
        </w:rPr>
      </w:pPr>
      <w:r>
        <w:rPr>
          <w:rFonts w:hint="eastAsia" w:ascii="宋体" w:hAnsi="宋体" w:eastAsia="宋体" w:cs="宋体"/>
          <w:sz w:val="21"/>
          <w:szCs w:val="21"/>
        </w:rPr>
        <w:drawing>
          <wp:anchor distT="0" distB="0" distL="114300" distR="114300" simplePos="0" relativeHeight="251695104" behindDoc="0" locked="0" layoutInCell="1" allowOverlap="1">
            <wp:simplePos x="0" y="0"/>
            <wp:positionH relativeFrom="column">
              <wp:posOffset>149225</wp:posOffset>
            </wp:positionH>
            <wp:positionV relativeFrom="paragraph">
              <wp:posOffset>121920</wp:posOffset>
            </wp:positionV>
            <wp:extent cx="1495425" cy="1961515"/>
            <wp:effectExtent l="0" t="0" r="9525" b="635"/>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5425" cy="1961515"/>
                    </a:xfrm>
                    <a:prstGeom prst="rect">
                      <a:avLst/>
                    </a:prstGeom>
                  </pic:spPr>
                </pic:pic>
              </a:graphicData>
            </a:graphic>
          </wp:anchor>
        </w:drawing>
      </w:r>
    </w:p>
    <w:p>
      <w:pPr>
        <w:ind w:firstLine="420" w:firstLineChars="200"/>
        <w:rPr>
          <w:rFonts w:hint="eastAsia" w:ascii="宋体" w:hAnsi="宋体" w:eastAsia="宋体" w:cs="宋体"/>
          <w:sz w:val="21"/>
          <w:szCs w:val="21"/>
        </w:rPr>
      </w:pPr>
    </w:p>
    <w:p>
      <w:pPr>
        <w:ind w:firstLine="420" w:firstLineChars="200"/>
        <w:rPr>
          <w:rFonts w:hint="eastAsia" w:ascii="宋体" w:hAnsi="宋体" w:eastAsia="宋体" w:cs="宋体"/>
          <w:sz w:val="21"/>
          <w:szCs w:val="21"/>
        </w:rPr>
      </w:pPr>
    </w:p>
    <w:p>
      <w:pPr>
        <w:ind w:firstLine="420" w:firstLineChars="200"/>
        <w:rPr>
          <w:rFonts w:hint="eastAsia" w:ascii="宋体" w:hAnsi="宋体" w:eastAsia="宋体" w:cs="宋体"/>
          <w:sz w:val="21"/>
          <w:szCs w:val="21"/>
        </w:rPr>
      </w:pPr>
    </w:p>
    <w:p>
      <w:pPr>
        <w:ind w:firstLine="420" w:firstLineChars="200"/>
        <w:rPr>
          <w:rFonts w:hint="eastAsia" w:ascii="宋体" w:hAnsi="宋体" w:eastAsia="宋体" w:cs="宋体"/>
          <w:sz w:val="21"/>
          <w:szCs w:val="21"/>
        </w:rPr>
      </w:pPr>
    </w:p>
    <w:p>
      <w:pPr>
        <w:ind w:firstLine="420" w:firstLineChars="200"/>
        <w:rPr>
          <w:rFonts w:hint="eastAsia" w:ascii="宋体" w:hAnsi="宋体" w:eastAsia="宋体" w:cs="宋体"/>
          <w:sz w:val="21"/>
          <w:szCs w:val="21"/>
        </w:rPr>
      </w:pPr>
    </w:p>
    <w:p>
      <w:pPr>
        <w:ind w:firstLine="420" w:firstLineChars="200"/>
        <w:rPr>
          <w:rFonts w:hint="eastAsia" w:ascii="宋体" w:hAnsi="宋体" w:eastAsia="宋体" w:cs="宋体"/>
          <w:sz w:val="21"/>
          <w:szCs w:val="21"/>
        </w:rPr>
      </w:pPr>
    </w:p>
    <w:p>
      <w:pPr>
        <w:ind w:firstLine="420" w:firstLineChars="200"/>
        <w:rPr>
          <w:rFonts w:hint="eastAsia" w:ascii="宋体" w:hAnsi="宋体" w:eastAsia="宋体" w:cs="宋体"/>
          <w:sz w:val="21"/>
          <w:szCs w:val="21"/>
        </w:rPr>
      </w:pPr>
    </w:p>
    <w:p>
      <w:pPr>
        <w:ind w:firstLine="420" w:firstLineChars="200"/>
        <w:rPr>
          <w:rFonts w:hint="eastAsia" w:ascii="宋体" w:hAnsi="宋体" w:eastAsia="宋体" w:cs="宋体"/>
          <w:sz w:val="21"/>
          <w:szCs w:val="21"/>
        </w:rPr>
      </w:pPr>
    </w:p>
    <w:p>
      <w:pPr>
        <w:ind w:firstLine="420" w:firstLineChars="200"/>
        <w:rPr>
          <w:rFonts w:hint="eastAsia" w:ascii="宋体" w:hAnsi="宋体" w:eastAsia="宋体" w:cs="宋体"/>
          <w:sz w:val="21"/>
          <w:szCs w:val="21"/>
        </w:rPr>
      </w:pPr>
    </w:p>
    <w:p>
      <w:pPr>
        <w:ind w:firstLine="420" w:firstLineChars="200"/>
        <w:rPr>
          <w:rFonts w:hint="eastAsia" w:ascii="宋体" w:hAnsi="宋体" w:eastAsia="宋体" w:cs="宋体"/>
          <w:sz w:val="21"/>
          <w:szCs w:val="21"/>
        </w:rPr>
      </w:pPr>
    </w:p>
    <w:p>
      <w:pPr>
        <w:ind w:firstLine="420" w:firstLineChars="200"/>
        <w:rPr>
          <w:rFonts w:hint="eastAsia" w:ascii="宋体" w:hAnsi="宋体" w:eastAsia="宋体" w:cs="宋体"/>
          <w:sz w:val="21"/>
          <w:szCs w:val="21"/>
        </w:rPr>
      </w:pPr>
      <w:r>
        <w:rPr>
          <w:rFonts w:hint="eastAsia" w:ascii="宋体" w:hAnsi="宋体" w:eastAsia="宋体" w:cs="宋体"/>
          <w:sz w:val="21"/>
          <w:szCs w:val="21"/>
        </w:rPr>
        <w:t>图：宾大语言文化课程成绩单</w:t>
      </w:r>
    </w:p>
    <w:p>
      <w:pPr>
        <w:ind w:firstLine="420" w:firstLineChars="200"/>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bCs/>
          <w:kern w:val="0"/>
          <w:sz w:val="21"/>
          <w:szCs w:val="21"/>
        </w:rPr>
        <w:t>项目费用</w:t>
      </w:r>
      <w:r>
        <w:rPr>
          <w:rFonts w:hint="eastAsia" w:ascii="宋体" w:hAnsi="宋体" w:eastAsia="宋体" w:cs="宋体"/>
          <w:sz w:val="21"/>
          <w:szCs w:val="21"/>
        </w:rPr>
        <w:t>】</w:t>
      </w:r>
    </w:p>
    <w:tbl>
      <w:tblPr>
        <w:tblStyle w:val="11"/>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9"/>
        <w:gridCol w:w="6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 w:hRule="atLeast"/>
        </w:trPr>
        <w:tc>
          <w:tcPr>
            <w:tcW w:w="1909" w:type="dxa"/>
            <w:vMerge w:val="restart"/>
          </w:tcPr>
          <w:p>
            <w:pPr>
              <w:spacing w:line="360" w:lineRule="auto"/>
              <w:rPr>
                <w:rFonts w:hint="eastAsia" w:ascii="宋体" w:hAnsi="宋体" w:eastAsia="宋体" w:cs="宋体"/>
                <w:sz w:val="21"/>
                <w:szCs w:val="21"/>
              </w:rPr>
            </w:pPr>
            <w:r>
              <w:rPr>
                <w:rFonts w:hint="eastAsia" w:ascii="宋体" w:hAnsi="宋体" w:eastAsia="宋体" w:cs="宋体"/>
                <w:sz w:val="21"/>
                <w:szCs w:val="21"/>
              </w:rPr>
              <w:t>项目总费用</w:t>
            </w:r>
          </w:p>
        </w:tc>
        <w:tc>
          <w:tcPr>
            <w:tcW w:w="6387"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语言文化课程：约1.16万美元（约合人民币8万元）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9" w:type="dxa"/>
            <w:vMerge w:val="continue"/>
          </w:tcPr>
          <w:p>
            <w:pPr>
              <w:spacing w:line="360" w:lineRule="auto"/>
              <w:rPr>
                <w:rFonts w:hint="eastAsia" w:ascii="宋体" w:hAnsi="宋体" w:eastAsia="宋体" w:cs="宋体"/>
                <w:sz w:val="21"/>
                <w:szCs w:val="21"/>
              </w:rPr>
            </w:pPr>
          </w:p>
        </w:tc>
        <w:tc>
          <w:tcPr>
            <w:tcW w:w="6387"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专业学分课程： 1.89-3.3万美元（约合人民币13-22.8万元）</w:t>
            </w:r>
          </w:p>
          <w:p>
            <w:pPr>
              <w:spacing w:line="360" w:lineRule="auto"/>
              <w:rPr>
                <w:rFonts w:hint="eastAsia" w:ascii="宋体" w:hAnsi="宋体" w:eastAsia="宋体" w:cs="宋体"/>
                <w:sz w:val="21"/>
                <w:szCs w:val="21"/>
              </w:rPr>
            </w:pPr>
            <w:r>
              <w:rPr>
                <w:rFonts w:hint="eastAsia" w:ascii="宋体" w:hAnsi="宋体" w:eastAsia="宋体" w:cs="宋体"/>
                <w:sz w:val="21"/>
                <w:szCs w:val="21"/>
              </w:rPr>
              <w:t>注：根据学生选课所属院系的不同，项目费用存在差别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9"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费用包括：</w:t>
            </w:r>
          </w:p>
        </w:tc>
        <w:tc>
          <w:tcPr>
            <w:tcW w:w="6387"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申请费、学费、杂费、设施费、健康费、在读期间医疗保险、及项目设计与管理费</w:t>
            </w:r>
          </w:p>
        </w:tc>
      </w:tr>
    </w:tbl>
    <w:p>
      <w:pPr>
        <w:widowControl/>
        <w:spacing w:line="360" w:lineRule="auto"/>
        <w:jc w:val="left"/>
        <w:rPr>
          <w:rFonts w:hint="eastAsia" w:ascii="宋体" w:hAnsi="宋体" w:eastAsia="宋体" w:cs="宋体"/>
          <w:bCs/>
          <w:kern w:val="0"/>
          <w:sz w:val="21"/>
          <w:szCs w:val="21"/>
        </w:rPr>
      </w:pPr>
    </w:p>
    <w:p>
      <w:pPr>
        <w:spacing w:line="360" w:lineRule="auto"/>
        <w:rPr>
          <w:rFonts w:hint="eastAsia" w:ascii="宋体" w:hAnsi="宋体" w:eastAsia="宋体" w:cs="宋体"/>
          <w:b/>
          <w:kern w:val="0"/>
          <w:sz w:val="21"/>
          <w:szCs w:val="21"/>
        </w:rPr>
      </w:pPr>
      <w:r>
        <w:rPr>
          <w:rFonts w:hint="eastAsia" w:ascii="宋体" w:hAnsi="宋体" w:eastAsia="宋体" w:cs="宋体"/>
          <w:b/>
          <w:bCs/>
          <w:kern w:val="0"/>
          <w:sz w:val="21"/>
          <w:szCs w:val="21"/>
        </w:rPr>
        <w:t>五、项目申请</w:t>
      </w:r>
    </w:p>
    <w:p>
      <w:pPr>
        <w:pStyle w:val="19"/>
        <w:widowControl/>
        <w:numPr>
          <w:ilvl w:val="0"/>
          <w:numId w:val="0"/>
        </w:numPr>
        <w:spacing w:line="360" w:lineRule="auto"/>
        <w:ind w:leftChars="0"/>
        <w:jc w:val="left"/>
        <w:rPr>
          <w:rFonts w:hint="eastAsia" w:ascii="宋体" w:hAnsi="宋体" w:eastAsia="宋体" w:cs="宋体"/>
          <w:sz w:val="21"/>
          <w:szCs w:val="21"/>
        </w:rPr>
      </w:pPr>
      <w:r>
        <w:rPr>
          <w:rFonts w:hint="eastAsia" w:ascii="宋体" w:hAnsi="宋体" w:cs="宋体"/>
          <w:b/>
          <w:kern w:val="0"/>
          <w:sz w:val="21"/>
          <w:szCs w:val="21"/>
          <w:lang w:val="en-US" w:eastAsia="zh-CN"/>
        </w:rPr>
        <w:t>1、</w:t>
      </w:r>
      <w:r>
        <w:rPr>
          <w:rFonts w:hint="eastAsia" w:ascii="宋体" w:hAnsi="宋体" w:eastAsia="宋体" w:cs="宋体"/>
          <w:b/>
          <w:kern w:val="0"/>
          <w:sz w:val="21"/>
          <w:szCs w:val="21"/>
        </w:rPr>
        <w:t>选拔要求</w:t>
      </w:r>
    </w:p>
    <w:p>
      <w:pPr>
        <w:pStyle w:val="19"/>
        <w:numPr>
          <w:ilvl w:val="0"/>
          <w:numId w:val="3"/>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仅限本校全日制在校生；且成绩优异、道德品质好，在校期间未受过纪律处分，身心健康，能顺利完成在美学习任务；</w:t>
      </w:r>
    </w:p>
    <w:p>
      <w:pPr>
        <w:pStyle w:val="19"/>
        <w:numPr>
          <w:ilvl w:val="0"/>
          <w:numId w:val="3"/>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 xml:space="preserve">申请要求： </w:t>
      </w:r>
    </w:p>
    <w:p>
      <w:pPr>
        <w:pStyle w:val="19"/>
        <w:spacing w:line="360" w:lineRule="auto"/>
        <w:ind w:left="570" w:firstLine="0" w:firstLineChars="0"/>
        <w:rPr>
          <w:rFonts w:hint="eastAsia" w:ascii="宋体" w:hAnsi="宋体" w:eastAsia="宋体" w:cs="宋体"/>
          <w:sz w:val="21"/>
          <w:szCs w:val="21"/>
        </w:rPr>
      </w:pPr>
      <w:r>
        <w:rPr>
          <w:rFonts w:hint="eastAsia" w:ascii="宋体" w:hAnsi="宋体" w:eastAsia="宋体" w:cs="宋体"/>
          <w:b/>
          <w:sz w:val="21"/>
          <w:szCs w:val="21"/>
        </w:rPr>
        <w:t>语言文化课程</w:t>
      </w:r>
      <w:r>
        <w:rPr>
          <w:rFonts w:hint="eastAsia" w:ascii="宋体" w:hAnsi="宋体" w:eastAsia="宋体" w:cs="宋体"/>
          <w:sz w:val="21"/>
          <w:szCs w:val="21"/>
        </w:rPr>
        <w:t>：具有良好的英语基础；本科和研究生均可申请；入学参加分级测试</w:t>
      </w:r>
    </w:p>
    <w:p>
      <w:pPr>
        <w:pStyle w:val="19"/>
        <w:spacing w:line="360" w:lineRule="auto"/>
        <w:ind w:left="570" w:firstLine="0" w:firstLineChars="0"/>
        <w:rPr>
          <w:rFonts w:hint="eastAsia" w:ascii="宋体" w:hAnsi="宋体" w:eastAsia="宋体" w:cs="宋体"/>
          <w:sz w:val="21"/>
          <w:szCs w:val="21"/>
        </w:rPr>
      </w:pPr>
      <w:r>
        <w:rPr>
          <w:rFonts w:hint="eastAsia" w:ascii="宋体" w:hAnsi="宋体" w:eastAsia="宋体" w:cs="宋体"/>
          <w:b/>
          <w:sz w:val="21"/>
          <w:szCs w:val="21"/>
        </w:rPr>
        <w:t>大学专业学分课程</w:t>
      </w:r>
      <w:r>
        <w:rPr>
          <w:rFonts w:hint="eastAsia" w:ascii="宋体" w:hAnsi="宋体" w:eastAsia="宋体" w:cs="宋体"/>
          <w:sz w:val="21"/>
          <w:szCs w:val="21"/>
        </w:rPr>
        <w:t>：托福100，或雅思7.0，GPA3.3（4分制）；大二或大二年级以上学生方可申请。</w:t>
      </w:r>
    </w:p>
    <w:p>
      <w:pPr>
        <w:pStyle w:val="19"/>
        <w:numPr>
          <w:ilvl w:val="0"/>
          <w:numId w:val="3"/>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家庭具有一定经济基础，能够提供访学所需学费及生活费；</w:t>
      </w:r>
    </w:p>
    <w:p>
      <w:pPr>
        <w:pStyle w:val="19"/>
        <w:numPr>
          <w:ilvl w:val="0"/>
          <w:numId w:val="3"/>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通过全美国际教育协会的项目面试、宾夕法尼亚大学的学术审核、以及我校院系及</w:t>
      </w:r>
    </w:p>
    <w:p>
      <w:pPr>
        <w:pStyle w:val="19"/>
        <w:spacing w:line="360" w:lineRule="auto"/>
        <w:ind w:left="570" w:firstLine="0" w:firstLineChars="0"/>
        <w:rPr>
          <w:rFonts w:hint="eastAsia" w:ascii="宋体" w:hAnsi="宋体" w:eastAsia="宋体" w:cs="宋体"/>
          <w:sz w:val="21"/>
          <w:szCs w:val="21"/>
        </w:rPr>
      </w:pPr>
      <w:r>
        <w:rPr>
          <w:rFonts w:hint="eastAsia" w:ascii="宋体" w:hAnsi="宋体" w:eastAsia="宋体" w:cs="宋体"/>
          <w:sz w:val="21"/>
          <w:szCs w:val="21"/>
        </w:rPr>
        <w:t>国际交流处的派出资格审核。</w:t>
      </w:r>
    </w:p>
    <w:p>
      <w:pPr>
        <w:pStyle w:val="19"/>
        <w:numPr>
          <w:ilvl w:val="0"/>
          <w:numId w:val="0"/>
        </w:numPr>
        <w:spacing w:line="360" w:lineRule="auto"/>
        <w:ind w:leftChars="0"/>
        <w:rPr>
          <w:rFonts w:hint="eastAsia" w:ascii="宋体" w:hAnsi="宋体" w:eastAsia="宋体" w:cs="宋体"/>
          <w:b/>
          <w:kern w:val="0"/>
          <w:sz w:val="21"/>
          <w:szCs w:val="21"/>
        </w:rPr>
      </w:pPr>
      <w:r>
        <w:rPr>
          <w:rFonts w:hint="eastAsia" w:ascii="宋体" w:hAnsi="宋体" w:cs="宋体"/>
          <w:b/>
          <w:kern w:val="0"/>
          <w:sz w:val="21"/>
          <w:szCs w:val="21"/>
          <w:lang w:val="en-US" w:eastAsia="zh-CN"/>
        </w:rPr>
        <w:t>2、</w:t>
      </w:r>
      <w:r>
        <w:rPr>
          <w:rFonts w:hint="eastAsia" w:ascii="宋体" w:hAnsi="宋体" w:eastAsia="宋体" w:cs="宋体"/>
          <w:b/>
          <w:kern w:val="0"/>
          <w:sz w:val="21"/>
          <w:szCs w:val="21"/>
        </w:rPr>
        <w:t>项目申请录取方式和报名流程</w:t>
      </w:r>
    </w:p>
    <w:p>
      <w:pPr>
        <w:numPr>
          <w:ilvl w:val="0"/>
          <w:numId w:val="4"/>
        </w:numPr>
        <w:spacing w:line="360" w:lineRule="auto"/>
        <w:ind w:left="425" w:leftChars="0" w:hanging="425"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学生本人提出申请，在学校国际交流</w:t>
      </w:r>
      <w:r>
        <w:rPr>
          <w:rFonts w:hint="eastAsia" w:ascii="宋体" w:hAnsi="宋体" w:eastAsia="宋体" w:cs="宋体"/>
          <w:kern w:val="0"/>
          <w:sz w:val="21"/>
          <w:szCs w:val="21"/>
          <w:lang w:val="en-US" w:eastAsia="zh-CN"/>
        </w:rPr>
        <w:t>与合作</w:t>
      </w:r>
      <w:r>
        <w:rPr>
          <w:rFonts w:hint="eastAsia" w:ascii="宋体" w:hAnsi="宋体" w:eastAsia="宋体" w:cs="宋体"/>
          <w:kern w:val="0"/>
          <w:sz w:val="21"/>
          <w:szCs w:val="21"/>
        </w:rPr>
        <w:t>处报名；</w:t>
      </w:r>
    </w:p>
    <w:p>
      <w:pPr>
        <w:numPr>
          <w:ilvl w:val="0"/>
          <w:numId w:val="4"/>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同时登录项目选拔管理机构 -- 全美国际教育协会网站</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"http://www.usiea.org"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www.usiea.org</w:t>
      </w:r>
      <w:r>
        <w:rPr>
          <w:rStyle w:val="14"/>
          <w:rFonts w:hint="eastAsia" w:ascii="宋体" w:hAnsi="宋体" w:eastAsia="宋体" w:cs="宋体"/>
          <w:sz w:val="21"/>
          <w:szCs w:val="21"/>
        </w:rPr>
        <w:fldChar w:fldCharType="end"/>
      </w:r>
      <w:r>
        <w:rPr>
          <w:rFonts w:hint="eastAsia" w:ascii="宋体" w:hAnsi="宋体" w:eastAsia="宋体" w:cs="宋体"/>
          <w:sz w:val="21"/>
          <w:szCs w:val="21"/>
        </w:rPr>
        <w:t xml:space="preserve"> 填写《世界</w:t>
      </w:r>
      <w:bookmarkStart w:id="2" w:name="_GoBack"/>
      <w:bookmarkEnd w:id="2"/>
      <w:r>
        <w:rPr>
          <w:rFonts w:hint="eastAsia" w:ascii="宋体" w:hAnsi="宋体" w:eastAsia="宋体" w:cs="宋体"/>
          <w:sz w:val="21"/>
          <w:szCs w:val="21"/>
        </w:rPr>
        <w:t>名校访学2019-2020学年冬春项目报名表》，网上报名的时间决定录取的顺序和安排宿舍的顺序；</w:t>
      </w:r>
    </w:p>
    <w:p>
      <w:pPr>
        <w:pStyle w:val="19"/>
        <w:numPr>
          <w:ilvl w:val="0"/>
          <w:numId w:val="4"/>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学生申请资料经初步审核后，参加面试确定预录取名单；</w:t>
      </w:r>
    </w:p>
    <w:p>
      <w:pPr>
        <w:pStyle w:val="19"/>
        <w:numPr>
          <w:ilvl w:val="0"/>
          <w:numId w:val="4"/>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学生提交正式申请材料并缴纳项目费用，获得学校录取及签证后赴美学习。</w:t>
      </w:r>
    </w:p>
    <w:p>
      <w:pPr>
        <w:widowControl/>
        <w:spacing w:line="360" w:lineRule="auto"/>
        <w:ind w:firstLine="420" w:firstLineChars="0"/>
        <w:jc w:val="left"/>
        <w:rPr>
          <w:rFonts w:hint="eastAsia" w:ascii="宋体" w:hAnsi="宋体" w:eastAsia="宋体" w:cs="宋体"/>
          <w:sz w:val="21"/>
          <w:szCs w:val="21"/>
        </w:rPr>
      </w:pPr>
      <w:r>
        <w:rPr>
          <w:rFonts w:hint="eastAsia" w:ascii="宋体" w:hAnsi="宋体" w:eastAsia="宋体" w:cs="宋体"/>
          <w:sz w:val="21"/>
          <w:szCs w:val="21"/>
        </w:rPr>
        <w:t>申请截止日期：</w:t>
      </w:r>
      <w:r>
        <w:rPr>
          <w:rFonts w:hint="eastAsia" w:ascii="宋体" w:hAnsi="宋体" w:eastAsia="宋体" w:cs="宋体"/>
          <w:color w:val="FF0000"/>
          <w:sz w:val="21"/>
          <w:szCs w:val="21"/>
        </w:rPr>
        <w:t xml:space="preserve"> 201</w:t>
      </w:r>
      <w:r>
        <w:rPr>
          <w:rFonts w:hint="eastAsia" w:ascii="宋体" w:hAnsi="宋体" w:eastAsia="宋体" w:cs="宋体"/>
          <w:color w:val="FF0000"/>
          <w:sz w:val="21"/>
          <w:szCs w:val="21"/>
          <w:lang w:val="en-US" w:eastAsia="zh-CN"/>
        </w:rPr>
        <w:t>9</w:t>
      </w:r>
      <w:r>
        <w:rPr>
          <w:rFonts w:hint="eastAsia" w:ascii="宋体" w:hAnsi="宋体" w:eastAsia="宋体" w:cs="宋体"/>
          <w:color w:val="FF0000"/>
          <w:sz w:val="21"/>
          <w:szCs w:val="21"/>
        </w:rPr>
        <w:t>年</w:t>
      </w:r>
      <w:r>
        <w:rPr>
          <w:rFonts w:hint="eastAsia" w:ascii="宋体" w:hAnsi="宋体" w:eastAsia="宋体" w:cs="宋体"/>
          <w:color w:val="FF0000"/>
          <w:sz w:val="21"/>
          <w:szCs w:val="21"/>
          <w:lang w:val="en-US" w:eastAsia="zh-CN"/>
        </w:rPr>
        <w:t>10</w:t>
      </w:r>
      <w:r>
        <w:rPr>
          <w:rFonts w:hint="eastAsia" w:ascii="宋体" w:hAnsi="宋体" w:eastAsia="宋体" w:cs="宋体"/>
          <w:color w:val="FF0000"/>
          <w:sz w:val="21"/>
          <w:szCs w:val="21"/>
        </w:rPr>
        <w:t>月</w:t>
      </w:r>
      <w:r>
        <w:rPr>
          <w:rFonts w:hint="eastAsia" w:ascii="宋体" w:hAnsi="宋体" w:eastAsia="宋体" w:cs="宋体"/>
          <w:color w:val="FF0000"/>
          <w:sz w:val="21"/>
          <w:szCs w:val="21"/>
          <w:lang w:val="en-US" w:eastAsia="zh-CN"/>
        </w:rPr>
        <w:t>30</w:t>
      </w:r>
      <w:r>
        <w:rPr>
          <w:rFonts w:hint="eastAsia" w:ascii="宋体" w:hAnsi="宋体" w:eastAsia="宋体" w:cs="宋体"/>
          <w:color w:val="FF0000"/>
          <w:sz w:val="21"/>
          <w:szCs w:val="21"/>
        </w:rPr>
        <w:t>日</w:t>
      </w:r>
    </w:p>
    <w:p>
      <w:pPr>
        <w:spacing w:line="360" w:lineRule="auto"/>
        <w:rPr>
          <w:rFonts w:hint="eastAsia" w:ascii="宋体" w:hAnsi="宋体" w:eastAsia="宋体" w:cs="宋体"/>
          <w:sz w:val="21"/>
          <w:szCs w:val="21"/>
        </w:rPr>
      </w:pPr>
    </w:p>
    <w:p>
      <w:pPr>
        <w:spacing w:line="360" w:lineRule="auto"/>
      </w:pPr>
      <w:r>
        <w:rPr>
          <w:rFonts w:hint="eastAsia" w:ascii="宋体" w:hAnsi="宋体" w:eastAsia="宋体" w:cs="宋体"/>
          <w:bCs/>
          <w:kern w:val="0"/>
          <w:sz w:val="21"/>
          <w:szCs w:val="21"/>
        </w:rPr>
        <w:t>咨询电话：</w:t>
      </w:r>
      <w:r>
        <w:rPr>
          <w:rFonts w:hint="eastAsia" w:ascii="宋体" w:hAnsi="宋体" w:eastAsia="宋体" w:cs="宋体"/>
          <w:kern w:val="0"/>
          <w:sz w:val="21"/>
          <w:szCs w:val="21"/>
        </w:rPr>
        <w:t>国际交流与合作处 028-85966899</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全美国际教育协会</w:t>
      </w:r>
      <w:r>
        <w:rPr>
          <w:rFonts w:hint="eastAsia" w:ascii="宋体" w:hAnsi="宋体" w:eastAsia="宋体" w:cs="宋体"/>
          <w:kern w:val="0"/>
          <w:sz w:val="21"/>
          <w:szCs w:val="21"/>
          <w:lang w:val="en-US" w:eastAsia="zh-CN"/>
        </w:rPr>
        <w:t xml:space="preserve"> 17358513797 黄老师 </w:t>
      </w:r>
      <w:r>
        <w:rPr>
          <w:rFonts w:hint="eastAsia" w:ascii="宋体" w:hAnsi="宋体" w:eastAsia="宋体" w:cs="宋体"/>
          <w:kern w:val="0"/>
          <w:sz w:val="21"/>
          <w:szCs w:val="21"/>
        </w:rPr>
        <w:t>18988936428李老师</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028-61983024</w:t>
      </w:r>
      <w:r>
        <w:rPr>
          <w:rFonts w:hint="eastAsia" w:ascii="宋体" w:hAnsi="宋体" w:eastAsia="宋体" w:cs="宋体"/>
          <w:kern w:val="0"/>
          <w:sz w:val="21"/>
          <w:szCs w:val="21"/>
        </w:rPr>
        <w:t xml:space="preserve">（周一至周五 </w:t>
      </w:r>
      <w:r>
        <w:rPr>
          <w:rFonts w:hint="eastAsia" w:ascii="宋体" w:hAnsi="宋体" w:eastAsia="宋体" w:cs="宋体"/>
          <w:kern w:val="0"/>
          <w:sz w:val="21"/>
          <w:szCs w:val="21"/>
          <w:lang w:val="en-US" w:eastAsia="zh-CN"/>
        </w:rPr>
        <w:t>8</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0—1</w:t>
      </w: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0）</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全美国际教育协会官网：</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"http://www.usiea.org" </w:instrText>
      </w:r>
      <w:r>
        <w:rPr>
          <w:rFonts w:hint="eastAsia" w:ascii="宋体" w:hAnsi="宋体" w:eastAsia="宋体" w:cs="宋体"/>
          <w:sz w:val="21"/>
          <w:szCs w:val="21"/>
        </w:rPr>
        <w:fldChar w:fldCharType="separate"/>
      </w:r>
      <w:r>
        <w:rPr>
          <w:rFonts w:hint="eastAsia" w:ascii="宋体" w:hAnsi="宋体" w:eastAsia="宋体" w:cs="宋体"/>
          <w:color w:val="0068B7"/>
          <w:kern w:val="0"/>
          <w:sz w:val="21"/>
          <w:szCs w:val="21"/>
        </w:rPr>
        <w:t>www.usiea.org</w:t>
      </w:r>
      <w:r>
        <w:rPr>
          <w:rFonts w:hint="eastAsia" w:ascii="宋体" w:hAnsi="宋体" w:eastAsia="宋体" w:cs="宋体"/>
          <w:color w:val="0068B7"/>
          <w:kern w:val="0"/>
          <w:sz w:val="21"/>
          <w:szCs w:val="21"/>
        </w:rPr>
        <w:fldChar w:fldCharType="end"/>
      </w:r>
      <w:r>
        <w:rPr>
          <w:rFonts w:hint="eastAsia" w:ascii="宋体" w:hAnsi="宋体" w:eastAsia="宋体" w:cs="宋体"/>
          <w:kern w:val="0"/>
          <w:sz w:val="21"/>
          <w:szCs w:val="21"/>
        </w:rPr>
        <w:t xml:space="preserve"> </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全美国际教育协会官微：全美国际访学微刊</w:t>
      </w:r>
    </w:p>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项目邮箱咨询：</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"mailto:visitupenn@yeah.net" </w:instrText>
      </w:r>
      <w:r>
        <w:rPr>
          <w:rFonts w:hint="eastAsia" w:ascii="宋体" w:hAnsi="宋体" w:eastAsia="宋体" w:cs="宋体"/>
          <w:sz w:val="21"/>
          <w:szCs w:val="21"/>
        </w:rPr>
        <w:fldChar w:fldCharType="separate"/>
      </w:r>
      <w:r>
        <w:rPr>
          <w:rStyle w:val="14"/>
          <w:rFonts w:hint="eastAsia" w:ascii="宋体" w:hAnsi="宋体" w:eastAsia="宋体" w:cs="宋体"/>
          <w:kern w:val="0"/>
          <w:sz w:val="21"/>
          <w:szCs w:val="21"/>
        </w:rPr>
        <w:t>visitupenn@yeah.net</w:t>
      </w:r>
      <w:r>
        <w:rPr>
          <w:rStyle w:val="14"/>
          <w:rFonts w:hint="eastAsia" w:ascii="宋体" w:hAnsi="宋体" w:eastAsia="宋体" w:cs="宋体"/>
          <w:kern w:val="0"/>
          <w:sz w:val="21"/>
          <w:szCs w:val="21"/>
        </w:rPr>
        <w:fldChar w:fldCharType="end"/>
      </w:r>
      <w:r>
        <w:rPr>
          <w:rStyle w:val="14"/>
          <w:rFonts w:hint="eastAsia" w:ascii="宋体" w:hAnsi="宋体" w:eastAsia="宋体" w:cs="宋体"/>
          <w:kern w:val="0"/>
          <w:sz w:val="21"/>
          <w:szCs w:val="21"/>
        </w:rPr>
        <w:t xml:space="preserve"> </w:t>
      </w:r>
    </w:p>
    <w:p>
      <w:pPr>
        <w:widowControl/>
        <w:spacing w:line="360" w:lineRule="auto"/>
        <w:jc w:val="left"/>
        <w:rPr>
          <w:rFonts w:hint="eastAsia" w:ascii="宋体" w:hAnsi="宋体" w:eastAsia="宋体" w:cs="宋体"/>
          <w:kern w:val="0"/>
          <w:sz w:val="21"/>
          <w:szCs w:val="21"/>
        </w:rPr>
      </w:pPr>
    </w:p>
    <w:sectPr>
      <w:headerReference r:id="rId3" w:type="default"/>
      <w:pgSz w:w="11906" w:h="16838"/>
      <w:pgMar w:top="2025" w:right="1800" w:bottom="1440" w:left="1800" w:header="73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0" w:lineRule="atLeast"/>
      <w:ind w:right="-336" w:rightChars="-160"/>
      <w:rPr>
        <w:rFonts w:ascii="微软雅黑" w:hAnsi="微软雅黑" w:eastAsia="微软雅黑"/>
        <w:sz w:val="30"/>
        <w:szCs w:val="30"/>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76CFC"/>
    <w:multiLevelType w:val="multilevel"/>
    <w:tmpl w:val="20576CFC"/>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
    <w:nsid w:val="2F7420D4"/>
    <w:multiLevelType w:val="multilevel"/>
    <w:tmpl w:val="2F7420D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61B36ACD"/>
    <w:multiLevelType w:val="multilevel"/>
    <w:tmpl w:val="61B36ACD"/>
    <w:lvl w:ilvl="0" w:tentative="0">
      <w:start w:val="1"/>
      <w:numFmt w:val="decimal"/>
      <w:lvlText w:val="%1）"/>
      <w:lvlJc w:val="left"/>
      <w:pPr>
        <w:ind w:left="570" w:hanging="36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3">
    <w:nsid w:val="69208E58"/>
    <w:multiLevelType w:val="singleLevel"/>
    <w:tmpl w:val="69208E58"/>
    <w:lvl w:ilvl="0" w:tentative="0">
      <w:start w:val="1"/>
      <w:numFmt w:val="decimal"/>
      <w:lvlText w:val="%1)"/>
      <w:lvlJc w:val="left"/>
      <w:pPr>
        <w:ind w:left="425" w:hanging="425"/>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A8F"/>
    <w:rsid w:val="00002E62"/>
    <w:rsid w:val="000035D7"/>
    <w:rsid w:val="0000590A"/>
    <w:rsid w:val="00006712"/>
    <w:rsid w:val="000067A6"/>
    <w:rsid w:val="00010F31"/>
    <w:rsid w:val="000169DD"/>
    <w:rsid w:val="00020D7D"/>
    <w:rsid w:val="000224CC"/>
    <w:rsid w:val="00022AFD"/>
    <w:rsid w:val="000230BD"/>
    <w:rsid w:val="00023476"/>
    <w:rsid w:val="000236D2"/>
    <w:rsid w:val="00024C64"/>
    <w:rsid w:val="00025206"/>
    <w:rsid w:val="0003068E"/>
    <w:rsid w:val="00030A02"/>
    <w:rsid w:val="00031403"/>
    <w:rsid w:val="00032519"/>
    <w:rsid w:val="00033EED"/>
    <w:rsid w:val="0003431E"/>
    <w:rsid w:val="00035CA7"/>
    <w:rsid w:val="000362BD"/>
    <w:rsid w:val="00040016"/>
    <w:rsid w:val="000402B0"/>
    <w:rsid w:val="00040DF8"/>
    <w:rsid w:val="00041148"/>
    <w:rsid w:val="00041BDA"/>
    <w:rsid w:val="00042C8C"/>
    <w:rsid w:val="00044B87"/>
    <w:rsid w:val="00046229"/>
    <w:rsid w:val="000519A2"/>
    <w:rsid w:val="00051A3D"/>
    <w:rsid w:val="0005389A"/>
    <w:rsid w:val="00055B47"/>
    <w:rsid w:val="00060047"/>
    <w:rsid w:val="0006181E"/>
    <w:rsid w:val="00065242"/>
    <w:rsid w:val="00067D4B"/>
    <w:rsid w:val="000820F9"/>
    <w:rsid w:val="000840CC"/>
    <w:rsid w:val="000860BB"/>
    <w:rsid w:val="00087DB0"/>
    <w:rsid w:val="0009206E"/>
    <w:rsid w:val="000954F4"/>
    <w:rsid w:val="00095792"/>
    <w:rsid w:val="00096C41"/>
    <w:rsid w:val="00097FB0"/>
    <w:rsid w:val="000A004D"/>
    <w:rsid w:val="000A0A86"/>
    <w:rsid w:val="000A2A22"/>
    <w:rsid w:val="000A4030"/>
    <w:rsid w:val="000A4429"/>
    <w:rsid w:val="000A5251"/>
    <w:rsid w:val="000A5300"/>
    <w:rsid w:val="000B1A29"/>
    <w:rsid w:val="000B24CB"/>
    <w:rsid w:val="000C058A"/>
    <w:rsid w:val="000C0A27"/>
    <w:rsid w:val="000C2F7C"/>
    <w:rsid w:val="000C3F5B"/>
    <w:rsid w:val="000C4E56"/>
    <w:rsid w:val="000C5C18"/>
    <w:rsid w:val="000C7850"/>
    <w:rsid w:val="000C7F9A"/>
    <w:rsid w:val="000D1A58"/>
    <w:rsid w:val="000D3060"/>
    <w:rsid w:val="000D4BC5"/>
    <w:rsid w:val="000E1209"/>
    <w:rsid w:val="000E192A"/>
    <w:rsid w:val="000E5365"/>
    <w:rsid w:val="000E71FC"/>
    <w:rsid w:val="000E7915"/>
    <w:rsid w:val="000F10F6"/>
    <w:rsid w:val="000F140D"/>
    <w:rsid w:val="000F168E"/>
    <w:rsid w:val="000F253C"/>
    <w:rsid w:val="000F6E7C"/>
    <w:rsid w:val="001013E1"/>
    <w:rsid w:val="001014E7"/>
    <w:rsid w:val="0010196F"/>
    <w:rsid w:val="0010295B"/>
    <w:rsid w:val="001051AF"/>
    <w:rsid w:val="00106BA3"/>
    <w:rsid w:val="00107687"/>
    <w:rsid w:val="00110B1F"/>
    <w:rsid w:val="00110EDA"/>
    <w:rsid w:val="0011231F"/>
    <w:rsid w:val="00112B60"/>
    <w:rsid w:val="00112EFC"/>
    <w:rsid w:val="001131EA"/>
    <w:rsid w:val="00116EF3"/>
    <w:rsid w:val="00120A5E"/>
    <w:rsid w:val="0012340B"/>
    <w:rsid w:val="0012488E"/>
    <w:rsid w:val="00124B0D"/>
    <w:rsid w:val="00125024"/>
    <w:rsid w:val="00125AEC"/>
    <w:rsid w:val="00127C1E"/>
    <w:rsid w:val="00127FE8"/>
    <w:rsid w:val="00131D30"/>
    <w:rsid w:val="00132BB5"/>
    <w:rsid w:val="00134011"/>
    <w:rsid w:val="001355A4"/>
    <w:rsid w:val="00135F93"/>
    <w:rsid w:val="0013632A"/>
    <w:rsid w:val="00137744"/>
    <w:rsid w:val="00143294"/>
    <w:rsid w:val="00146AB9"/>
    <w:rsid w:val="00147A3E"/>
    <w:rsid w:val="0015401B"/>
    <w:rsid w:val="0016167D"/>
    <w:rsid w:val="00162E33"/>
    <w:rsid w:val="00167799"/>
    <w:rsid w:val="00167C8D"/>
    <w:rsid w:val="00170451"/>
    <w:rsid w:val="00173281"/>
    <w:rsid w:val="0017377D"/>
    <w:rsid w:val="001738F0"/>
    <w:rsid w:val="00175F78"/>
    <w:rsid w:val="00176F21"/>
    <w:rsid w:val="00182E04"/>
    <w:rsid w:val="001834A2"/>
    <w:rsid w:val="00183A23"/>
    <w:rsid w:val="00186190"/>
    <w:rsid w:val="00192C0F"/>
    <w:rsid w:val="00195824"/>
    <w:rsid w:val="001A0C7A"/>
    <w:rsid w:val="001A2636"/>
    <w:rsid w:val="001A281F"/>
    <w:rsid w:val="001A7D56"/>
    <w:rsid w:val="001B1730"/>
    <w:rsid w:val="001B1DAA"/>
    <w:rsid w:val="001B2069"/>
    <w:rsid w:val="001B600B"/>
    <w:rsid w:val="001C1A51"/>
    <w:rsid w:val="001C6985"/>
    <w:rsid w:val="001D2C48"/>
    <w:rsid w:val="001D4042"/>
    <w:rsid w:val="001D458C"/>
    <w:rsid w:val="001D4EF4"/>
    <w:rsid w:val="001D74CC"/>
    <w:rsid w:val="001E31D7"/>
    <w:rsid w:val="001E321D"/>
    <w:rsid w:val="001E4F6C"/>
    <w:rsid w:val="001E5D98"/>
    <w:rsid w:val="001E6096"/>
    <w:rsid w:val="001F029D"/>
    <w:rsid w:val="001F2CA7"/>
    <w:rsid w:val="001F49A8"/>
    <w:rsid w:val="001F5524"/>
    <w:rsid w:val="00201963"/>
    <w:rsid w:val="00202030"/>
    <w:rsid w:val="00203BFF"/>
    <w:rsid w:val="00206418"/>
    <w:rsid w:val="002133F2"/>
    <w:rsid w:val="00213D09"/>
    <w:rsid w:val="0021575D"/>
    <w:rsid w:val="0021711E"/>
    <w:rsid w:val="002202A8"/>
    <w:rsid w:val="00220E2D"/>
    <w:rsid w:val="002211FB"/>
    <w:rsid w:val="0022214B"/>
    <w:rsid w:val="00223F43"/>
    <w:rsid w:val="002274D9"/>
    <w:rsid w:val="00230EA2"/>
    <w:rsid w:val="0023347E"/>
    <w:rsid w:val="002379FF"/>
    <w:rsid w:val="00241555"/>
    <w:rsid w:val="002439C3"/>
    <w:rsid w:val="002441C6"/>
    <w:rsid w:val="0024447C"/>
    <w:rsid w:val="002449A1"/>
    <w:rsid w:val="0024592F"/>
    <w:rsid w:val="00251642"/>
    <w:rsid w:val="0025295F"/>
    <w:rsid w:val="00255140"/>
    <w:rsid w:val="00257563"/>
    <w:rsid w:val="00257E0D"/>
    <w:rsid w:val="00261406"/>
    <w:rsid w:val="00261C11"/>
    <w:rsid w:val="00270392"/>
    <w:rsid w:val="00271BCB"/>
    <w:rsid w:val="00271E4F"/>
    <w:rsid w:val="00272305"/>
    <w:rsid w:val="00272F97"/>
    <w:rsid w:val="00275270"/>
    <w:rsid w:val="0027600D"/>
    <w:rsid w:val="00276F0F"/>
    <w:rsid w:val="0028056A"/>
    <w:rsid w:val="002852EE"/>
    <w:rsid w:val="0029179F"/>
    <w:rsid w:val="00292326"/>
    <w:rsid w:val="00294DD3"/>
    <w:rsid w:val="00295361"/>
    <w:rsid w:val="00296348"/>
    <w:rsid w:val="00297E1A"/>
    <w:rsid w:val="002A1BDF"/>
    <w:rsid w:val="002A33E6"/>
    <w:rsid w:val="002A402F"/>
    <w:rsid w:val="002A795E"/>
    <w:rsid w:val="002B5C48"/>
    <w:rsid w:val="002B61DD"/>
    <w:rsid w:val="002B7076"/>
    <w:rsid w:val="002C2028"/>
    <w:rsid w:val="002C229B"/>
    <w:rsid w:val="002C27D4"/>
    <w:rsid w:val="002C3134"/>
    <w:rsid w:val="002C500D"/>
    <w:rsid w:val="002C5793"/>
    <w:rsid w:val="002C6AEB"/>
    <w:rsid w:val="002C722D"/>
    <w:rsid w:val="002D04D0"/>
    <w:rsid w:val="002D3409"/>
    <w:rsid w:val="002D76B2"/>
    <w:rsid w:val="002D7905"/>
    <w:rsid w:val="002D7B20"/>
    <w:rsid w:val="002E0797"/>
    <w:rsid w:val="002E0C40"/>
    <w:rsid w:val="002E1476"/>
    <w:rsid w:val="002E319D"/>
    <w:rsid w:val="002E3299"/>
    <w:rsid w:val="002E4985"/>
    <w:rsid w:val="002E4E6F"/>
    <w:rsid w:val="002E64CC"/>
    <w:rsid w:val="002F04E4"/>
    <w:rsid w:val="002F1A53"/>
    <w:rsid w:val="002F3568"/>
    <w:rsid w:val="002F37DA"/>
    <w:rsid w:val="002F5110"/>
    <w:rsid w:val="002F7AB9"/>
    <w:rsid w:val="0030157A"/>
    <w:rsid w:val="00302995"/>
    <w:rsid w:val="00303D3D"/>
    <w:rsid w:val="00314A41"/>
    <w:rsid w:val="00314B46"/>
    <w:rsid w:val="0031712B"/>
    <w:rsid w:val="0032092A"/>
    <w:rsid w:val="00321528"/>
    <w:rsid w:val="00321717"/>
    <w:rsid w:val="00321D5F"/>
    <w:rsid w:val="00330E7E"/>
    <w:rsid w:val="00330EF0"/>
    <w:rsid w:val="00332598"/>
    <w:rsid w:val="00333C15"/>
    <w:rsid w:val="00337023"/>
    <w:rsid w:val="003376C4"/>
    <w:rsid w:val="00342D9D"/>
    <w:rsid w:val="00342E7E"/>
    <w:rsid w:val="003440CB"/>
    <w:rsid w:val="00344F48"/>
    <w:rsid w:val="00347B20"/>
    <w:rsid w:val="003504A0"/>
    <w:rsid w:val="00352A1D"/>
    <w:rsid w:val="00353816"/>
    <w:rsid w:val="00361CCF"/>
    <w:rsid w:val="00361F0C"/>
    <w:rsid w:val="00362047"/>
    <w:rsid w:val="00364A0C"/>
    <w:rsid w:val="00371B64"/>
    <w:rsid w:val="003738EA"/>
    <w:rsid w:val="00375491"/>
    <w:rsid w:val="0037672C"/>
    <w:rsid w:val="00376E91"/>
    <w:rsid w:val="003822A8"/>
    <w:rsid w:val="00383DCC"/>
    <w:rsid w:val="00386A4E"/>
    <w:rsid w:val="00386C51"/>
    <w:rsid w:val="00387362"/>
    <w:rsid w:val="00390C9A"/>
    <w:rsid w:val="00390FCA"/>
    <w:rsid w:val="00392494"/>
    <w:rsid w:val="00394A95"/>
    <w:rsid w:val="00396306"/>
    <w:rsid w:val="00397742"/>
    <w:rsid w:val="00397891"/>
    <w:rsid w:val="003A6BB9"/>
    <w:rsid w:val="003B07D0"/>
    <w:rsid w:val="003B4151"/>
    <w:rsid w:val="003B669C"/>
    <w:rsid w:val="003B7583"/>
    <w:rsid w:val="003B786E"/>
    <w:rsid w:val="003C6EF7"/>
    <w:rsid w:val="003D092D"/>
    <w:rsid w:val="003D0F7B"/>
    <w:rsid w:val="003D0FE9"/>
    <w:rsid w:val="003D1C70"/>
    <w:rsid w:val="003D2BCE"/>
    <w:rsid w:val="003D4037"/>
    <w:rsid w:val="003D4529"/>
    <w:rsid w:val="003D4B46"/>
    <w:rsid w:val="003D5F48"/>
    <w:rsid w:val="003E01B3"/>
    <w:rsid w:val="003E04B1"/>
    <w:rsid w:val="003E3199"/>
    <w:rsid w:val="003E5522"/>
    <w:rsid w:val="003E7DA0"/>
    <w:rsid w:val="003F050A"/>
    <w:rsid w:val="003F059B"/>
    <w:rsid w:val="003F50D1"/>
    <w:rsid w:val="003F5F88"/>
    <w:rsid w:val="00401B67"/>
    <w:rsid w:val="0040450B"/>
    <w:rsid w:val="0041273F"/>
    <w:rsid w:val="00417DFD"/>
    <w:rsid w:val="00420314"/>
    <w:rsid w:val="00421790"/>
    <w:rsid w:val="0042204E"/>
    <w:rsid w:val="00426325"/>
    <w:rsid w:val="00437A33"/>
    <w:rsid w:val="0044645C"/>
    <w:rsid w:val="004469A3"/>
    <w:rsid w:val="0045270B"/>
    <w:rsid w:val="0045275F"/>
    <w:rsid w:val="00454C45"/>
    <w:rsid w:val="00455CF2"/>
    <w:rsid w:val="004624BE"/>
    <w:rsid w:val="00465A92"/>
    <w:rsid w:val="004679CE"/>
    <w:rsid w:val="00470270"/>
    <w:rsid w:val="00471CBF"/>
    <w:rsid w:val="00472046"/>
    <w:rsid w:val="0048136E"/>
    <w:rsid w:val="00483DDF"/>
    <w:rsid w:val="00485AD1"/>
    <w:rsid w:val="00486AA5"/>
    <w:rsid w:val="00486B7F"/>
    <w:rsid w:val="004878DF"/>
    <w:rsid w:val="00492292"/>
    <w:rsid w:val="004932B6"/>
    <w:rsid w:val="004946E0"/>
    <w:rsid w:val="00495E6D"/>
    <w:rsid w:val="004A1602"/>
    <w:rsid w:val="004A51A8"/>
    <w:rsid w:val="004B49EE"/>
    <w:rsid w:val="004B4D89"/>
    <w:rsid w:val="004B516E"/>
    <w:rsid w:val="004C0796"/>
    <w:rsid w:val="004C0E26"/>
    <w:rsid w:val="004C343D"/>
    <w:rsid w:val="004C5277"/>
    <w:rsid w:val="004C6632"/>
    <w:rsid w:val="004D2423"/>
    <w:rsid w:val="004D314E"/>
    <w:rsid w:val="004D3884"/>
    <w:rsid w:val="004D5BA8"/>
    <w:rsid w:val="004D5BBA"/>
    <w:rsid w:val="004E0748"/>
    <w:rsid w:val="004E0AA6"/>
    <w:rsid w:val="004E1B9F"/>
    <w:rsid w:val="004E728E"/>
    <w:rsid w:val="004F002A"/>
    <w:rsid w:val="004F0AAB"/>
    <w:rsid w:val="004F23F6"/>
    <w:rsid w:val="004F25D0"/>
    <w:rsid w:val="004F47B7"/>
    <w:rsid w:val="004F743F"/>
    <w:rsid w:val="004F7C1B"/>
    <w:rsid w:val="00500A8F"/>
    <w:rsid w:val="005043E9"/>
    <w:rsid w:val="005060F9"/>
    <w:rsid w:val="005109DD"/>
    <w:rsid w:val="0051106C"/>
    <w:rsid w:val="00512BAE"/>
    <w:rsid w:val="00517DEB"/>
    <w:rsid w:val="00520C0E"/>
    <w:rsid w:val="0052189D"/>
    <w:rsid w:val="00522EAE"/>
    <w:rsid w:val="005250F2"/>
    <w:rsid w:val="00525703"/>
    <w:rsid w:val="005260BE"/>
    <w:rsid w:val="00527573"/>
    <w:rsid w:val="005326B5"/>
    <w:rsid w:val="005339BB"/>
    <w:rsid w:val="00534DE3"/>
    <w:rsid w:val="00535F08"/>
    <w:rsid w:val="00536454"/>
    <w:rsid w:val="00536F45"/>
    <w:rsid w:val="00537EE6"/>
    <w:rsid w:val="00540A0F"/>
    <w:rsid w:val="005447E3"/>
    <w:rsid w:val="00547E75"/>
    <w:rsid w:val="00555016"/>
    <w:rsid w:val="00556212"/>
    <w:rsid w:val="00557BD7"/>
    <w:rsid w:val="005606AC"/>
    <w:rsid w:val="00563F4C"/>
    <w:rsid w:val="00564768"/>
    <w:rsid w:val="005669D8"/>
    <w:rsid w:val="0057138A"/>
    <w:rsid w:val="00572B6E"/>
    <w:rsid w:val="00572E88"/>
    <w:rsid w:val="005762B0"/>
    <w:rsid w:val="00584716"/>
    <w:rsid w:val="005849E3"/>
    <w:rsid w:val="00584E4F"/>
    <w:rsid w:val="00584E6C"/>
    <w:rsid w:val="005868F6"/>
    <w:rsid w:val="00586D6C"/>
    <w:rsid w:val="0058733F"/>
    <w:rsid w:val="00587D18"/>
    <w:rsid w:val="00593143"/>
    <w:rsid w:val="00594449"/>
    <w:rsid w:val="00594C58"/>
    <w:rsid w:val="00596D1A"/>
    <w:rsid w:val="005A31F5"/>
    <w:rsid w:val="005A65C8"/>
    <w:rsid w:val="005A6A9F"/>
    <w:rsid w:val="005B2979"/>
    <w:rsid w:val="005B5847"/>
    <w:rsid w:val="005B5D60"/>
    <w:rsid w:val="005B69C2"/>
    <w:rsid w:val="005C272C"/>
    <w:rsid w:val="005C27A1"/>
    <w:rsid w:val="005C3BCA"/>
    <w:rsid w:val="005C67D4"/>
    <w:rsid w:val="005C77FB"/>
    <w:rsid w:val="005C7CC0"/>
    <w:rsid w:val="005D05E0"/>
    <w:rsid w:val="005D0683"/>
    <w:rsid w:val="005D2B29"/>
    <w:rsid w:val="005D3270"/>
    <w:rsid w:val="005D4B9B"/>
    <w:rsid w:val="005D50EF"/>
    <w:rsid w:val="005D51C2"/>
    <w:rsid w:val="005D6F09"/>
    <w:rsid w:val="005E035C"/>
    <w:rsid w:val="005E262D"/>
    <w:rsid w:val="005E56AB"/>
    <w:rsid w:val="005E5A41"/>
    <w:rsid w:val="005E674A"/>
    <w:rsid w:val="005E6E17"/>
    <w:rsid w:val="005E7EEC"/>
    <w:rsid w:val="005F118B"/>
    <w:rsid w:val="005F3B25"/>
    <w:rsid w:val="005F6112"/>
    <w:rsid w:val="00602232"/>
    <w:rsid w:val="00606AA2"/>
    <w:rsid w:val="00606C4F"/>
    <w:rsid w:val="00607EE7"/>
    <w:rsid w:val="006107DC"/>
    <w:rsid w:val="0061228A"/>
    <w:rsid w:val="00617A76"/>
    <w:rsid w:val="00621ED0"/>
    <w:rsid w:val="00622238"/>
    <w:rsid w:val="00624BB2"/>
    <w:rsid w:val="006316FD"/>
    <w:rsid w:val="0063217A"/>
    <w:rsid w:val="00632329"/>
    <w:rsid w:val="006361BC"/>
    <w:rsid w:val="00636A3C"/>
    <w:rsid w:val="00637AD1"/>
    <w:rsid w:val="006405B1"/>
    <w:rsid w:val="00642CD5"/>
    <w:rsid w:val="006452B3"/>
    <w:rsid w:val="00645792"/>
    <w:rsid w:val="006551A7"/>
    <w:rsid w:val="0065585D"/>
    <w:rsid w:val="00655B51"/>
    <w:rsid w:val="0066295A"/>
    <w:rsid w:val="00663035"/>
    <w:rsid w:val="00664055"/>
    <w:rsid w:val="00666CF9"/>
    <w:rsid w:val="00667457"/>
    <w:rsid w:val="00667A61"/>
    <w:rsid w:val="00670ED6"/>
    <w:rsid w:val="006712E6"/>
    <w:rsid w:val="00671702"/>
    <w:rsid w:val="00673E32"/>
    <w:rsid w:val="006740B4"/>
    <w:rsid w:val="00674734"/>
    <w:rsid w:val="0067541F"/>
    <w:rsid w:val="00676DF8"/>
    <w:rsid w:val="00684D38"/>
    <w:rsid w:val="006858D5"/>
    <w:rsid w:val="00687DBB"/>
    <w:rsid w:val="00696B1C"/>
    <w:rsid w:val="0069732D"/>
    <w:rsid w:val="006A2B5F"/>
    <w:rsid w:val="006A32C4"/>
    <w:rsid w:val="006A72B8"/>
    <w:rsid w:val="006B576E"/>
    <w:rsid w:val="006C127C"/>
    <w:rsid w:val="006C1F05"/>
    <w:rsid w:val="006C2070"/>
    <w:rsid w:val="006C4426"/>
    <w:rsid w:val="006C54FD"/>
    <w:rsid w:val="006C70AC"/>
    <w:rsid w:val="006D2C29"/>
    <w:rsid w:val="006D5B15"/>
    <w:rsid w:val="006D5C62"/>
    <w:rsid w:val="006D642C"/>
    <w:rsid w:val="006E3A9C"/>
    <w:rsid w:val="006F038D"/>
    <w:rsid w:val="00700EA9"/>
    <w:rsid w:val="0070255A"/>
    <w:rsid w:val="0070385E"/>
    <w:rsid w:val="007045DC"/>
    <w:rsid w:val="00705BEF"/>
    <w:rsid w:val="00706179"/>
    <w:rsid w:val="007113DD"/>
    <w:rsid w:val="0071430B"/>
    <w:rsid w:val="00720659"/>
    <w:rsid w:val="0072201D"/>
    <w:rsid w:val="00733292"/>
    <w:rsid w:val="0073607E"/>
    <w:rsid w:val="00736663"/>
    <w:rsid w:val="007370F3"/>
    <w:rsid w:val="007423FD"/>
    <w:rsid w:val="0074285A"/>
    <w:rsid w:val="00755EE3"/>
    <w:rsid w:val="00757990"/>
    <w:rsid w:val="00760C7A"/>
    <w:rsid w:val="007619AD"/>
    <w:rsid w:val="00762330"/>
    <w:rsid w:val="00762492"/>
    <w:rsid w:val="007640E0"/>
    <w:rsid w:val="007652B1"/>
    <w:rsid w:val="00770616"/>
    <w:rsid w:val="00770E19"/>
    <w:rsid w:val="00772E22"/>
    <w:rsid w:val="0077332B"/>
    <w:rsid w:val="00774257"/>
    <w:rsid w:val="00775505"/>
    <w:rsid w:val="00776AE1"/>
    <w:rsid w:val="00776C3B"/>
    <w:rsid w:val="00780093"/>
    <w:rsid w:val="00785B98"/>
    <w:rsid w:val="00785C31"/>
    <w:rsid w:val="007863D2"/>
    <w:rsid w:val="00793276"/>
    <w:rsid w:val="00793833"/>
    <w:rsid w:val="007968A7"/>
    <w:rsid w:val="007A01B4"/>
    <w:rsid w:val="007A03BE"/>
    <w:rsid w:val="007A07E5"/>
    <w:rsid w:val="007A136C"/>
    <w:rsid w:val="007A385D"/>
    <w:rsid w:val="007A3D2E"/>
    <w:rsid w:val="007A3E79"/>
    <w:rsid w:val="007A463F"/>
    <w:rsid w:val="007A5F86"/>
    <w:rsid w:val="007A7362"/>
    <w:rsid w:val="007B0667"/>
    <w:rsid w:val="007B2C25"/>
    <w:rsid w:val="007B5A17"/>
    <w:rsid w:val="007B5D7F"/>
    <w:rsid w:val="007B648A"/>
    <w:rsid w:val="007B7729"/>
    <w:rsid w:val="007C2153"/>
    <w:rsid w:val="007C42BE"/>
    <w:rsid w:val="007C66DE"/>
    <w:rsid w:val="007D0768"/>
    <w:rsid w:val="007D224F"/>
    <w:rsid w:val="007D4624"/>
    <w:rsid w:val="007D62F3"/>
    <w:rsid w:val="007E0376"/>
    <w:rsid w:val="007E0C8A"/>
    <w:rsid w:val="007E0E50"/>
    <w:rsid w:val="007E1D53"/>
    <w:rsid w:val="007E3816"/>
    <w:rsid w:val="007E513A"/>
    <w:rsid w:val="007F085E"/>
    <w:rsid w:val="007F2B2E"/>
    <w:rsid w:val="007F50F2"/>
    <w:rsid w:val="007F5700"/>
    <w:rsid w:val="007F79E2"/>
    <w:rsid w:val="00802548"/>
    <w:rsid w:val="00802890"/>
    <w:rsid w:val="00802957"/>
    <w:rsid w:val="00802B47"/>
    <w:rsid w:val="00803F13"/>
    <w:rsid w:val="008052BF"/>
    <w:rsid w:val="008062A9"/>
    <w:rsid w:val="008105AE"/>
    <w:rsid w:val="00811B0B"/>
    <w:rsid w:val="00814AA6"/>
    <w:rsid w:val="008153A8"/>
    <w:rsid w:val="008160D4"/>
    <w:rsid w:val="008267EE"/>
    <w:rsid w:val="0083050D"/>
    <w:rsid w:val="00832E9B"/>
    <w:rsid w:val="008432ED"/>
    <w:rsid w:val="00843F7D"/>
    <w:rsid w:val="008450F3"/>
    <w:rsid w:val="00847D03"/>
    <w:rsid w:val="00855260"/>
    <w:rsid w:val="00860271"/>
    <w:rsid w:val="0086227D"/>
    <w:rsid w:val="00863FEE"/>
    <w:rsid w:val="008653E0"/>
    <w:rsid w:val="008730BB"/>
    <w:rsid w:val="00880B5C"/>
    <w:rsid w:val="00881CA9"/>
    <w:rsid w:val="0088262F"/>
    <w:rsid w:val="00882E11"/>
    <w:rsid w:val="00883821"/>
    <w:rsid w:val="0088500C"/>
    <w:rsid w:val="008853E0"/>
    <w:rsid w:val="0088679A"/>
    <w:rsid w:val="0089014A"/>
    <w:rsid w:val="008902CF"/>
    <w:rsid w:val="00891840"/>
    <w:rsid w:val="008966E9"/>
    <w:rsid w:val="00896C9B"/>
    <w:rsid w:val="00897214"/>
    <w:rsid w:val="008B188A"/>
    <w:rsid w:val="008B4A3B"/>
    <w:rsid w:val="008B56E5"/>
    <w:rsid w:val="008B6065"/>
    <w:rsid w:val="008C1F77"/>
    <w:rsid w:val="008C5AFB"/>
    <w:rsid w:val="008D1223"/>
    <w:rsid w:val="008D3CFE"/>
    <w:rsid w:val="008D5E6C"/>
    <w:rsid w:val="008D643A"/>
    <w:rsid w:val="008D7F16"/>
    <w:rsid w:val="008E08E2"/>
    <w:rsid w:val="008E160B"/>
    <w:rsid w:val="008E4534"/>
    <w:rsid w:val="008E54DB"/>
    <w:rsid w:val="008F0E00"/>
    <w:rsid w:val="008F1045"/>
    <w:rsid w:val="008F2A31"/>
    <w:rsid w:val="009018E4"/>
    <w:rsid w:val="00901B91"/>
    <w:rsid w:val="00903BED"/>
    <w:rsid w:val="00905613"/>
    <w:rsid w:val="00905BF1"/>
    <w:rsid w:val="009111B0"/>
    <w:rsid w:val="00913572"/>
    <w:rsid w:val="00915EF9"/>
    <w:rsid w:val="009171E7"/>
    <w:rsid w:val="00917A3B"/>
    <w:rsid w:val="00920413"/>
    <w:rsid w:val="0092087F"/>
    <w:rsid w:val="0092377F"/>
    <w:rsid w:val="009308D8"/>
    <w:rsid w:val="00930DF7"/>
    <w:rsid w:val="00936821"/>
    <w:rsid w:val="00936E5D"/>
    <w:rsid w:val="00937C13"/>
    <w:rsid w:val="0094276A"/>
    <w:rsid w:val="00942C75"/>
    <w:rsid w:val="0094475E"/>
    <w:rsid w:val="00951195"/>
    <w:rsid w:val="00952045"/>
    <w:rsid w:val="00952BA5"/>
    <w:rsid w:val="009554FB"/>
    <w:rsid w:val="00957EEC"/>
    <w:rsid w:val="00963696"/>
    <w:rsid w:val="009642E6"/>
    <w:rsid w:val="009645E2"/>
    <w:rsid w:val="00965CCC"/>
    <w:rsid w:val="00972BCD"/>
    <w:rsid w:val="0097304E"/>
    <w:rsid w:val="0097647D"/>
    <w:rsid w:val="00976754"/>
    <w:rsid w:val="00976B70"/>
    <w:rsid w:val="0098274E"/>
    <w:rsid w:val="00983752"/>
    <w:rsid w:val="00983EF6"/>
    <w:rsid w:val="009842C2"/>
    <w:rsid w:val="00987939"/>
    <w:rsid w:val="009927BE"/>
    <w:rsid w:val="00994EDE"/>
    <w:rsid w:val="009957C8"/>
    <w:rsid w:val="009959F3"/>
    <w:rsid w:val="00995FFE"/>
    <w:rsid w:val="009A11C1"/>
    <w:rsid w:val="009A27F7"/>
    <w:rsid w:val="009A292D"/>
    <w:rsid w:val="009A4CAF"/>
    <w:rsid w:val="009A69B5"/>
    <w:rsid w:val="009B0A5E"/>
    <w:rsid w:val="009B0D73"/>
    <w:rsid w:val="009B3167"/>
    <w:rsid w:val="009B34FA"/>
    <w:rsid w:val="009B4E90"/>
    <w:rsid w:val="009C020C"/>
    <w:rsid w:val="009C44ED"/>
    <w:rsid w:val="009C4F0D"/>
    <w:rsid w:val="009C5700"/>
    <w:rsid w:val="009C596C"/>
    <w:rsid w:val="009C5D67"/>
    <w:rsid w:val="009C5FEE"/>
    <w:rsid w:val="009C6763"/>
    <w:rsid w:val="009C692C"/>
    <w:rsid w:val="009C698C"/>
    <w:rsid w:val="009C7A2D"/>
    <w:rsid w:val="009C7CE4"/>
    <w:rsid w:val="009D72F9"/>
    <w:rsid w:val="009E18AF"/>
    <w:rsid w:val="009E4A3B"/>
    <w:rsid w:val="009E5D88"/>
    <w:rsid w:val="009E73AD"/>
    <w:rsid w:val="009F0653"/>
    <w:rsid w:val="009F09C7"/>
    <w:rsid w:val="009F2C78"/>
    <w:rsid w:val="009F632A"/>
    <w:rsid w:val="009F7FCB"/>
    <w:rsid w:val="00A00B17"/>
    <w:rsid w:val="00A01568"/>
    <w:rsid w:val="00A1042E"/>
    <w:rsid w:val="00A112C1"/>
    <w:rsid w:val="00A1794D"/>
    <w:rsid w:val="00A207E1"/>
    <w:rsid w:val="00A20EDD"/>
    <w:rsid w:val="00A220C6"/>
    <w:rsid w:val="00A2358C"/>
    <w:rsid w:val="00A256C1"/>
    <w:rsid w:val="00A2663A"/>
    <w:rsid w:val="00A30D1A"/>
    <w:rsid w:val="00A31C85"/>
    <w:rsid w:val="00A32C2E"/>
    <w:rsid w:val="00A33A9E"/>
    <w:rsid w:val="00A45DC2"/>
    <w:rsid w:val="00A5260B"/>
    <w:rsid w:val="00A61F62"/>
    <w:rsid w:val="00A623DF"/>
    <w:rsid w:val="00A62D1A"/>
    <w:rsid w:val="00A64903"/>
    <w:rsid w:val="00A67B5E"/>
    <w:rsid w:val="00A72E16"/>
    <w:rsid w:val="00A73593"/>
    <w:rsid w:val="00A73893"/>
    <w:rsid w:val="00A73AD6"/>
    <w:rsid w:val="00A74436"/>
    <w:rsid w:val="00A76003"/>
    <w:rsid w:val="00A76D78"/>
    <w:rsid w:val="00A83140"/>
    <w:rsid w:val="00A843DA"/>
    <w:rsid w:val="00A84830"/>
    <w:rsid w:val="00A8598E"/>
    <w:rsid w:val="00A955D9"/>
    <w:rsid w:val="00A96197"/>
    <w:rsid w:val="00AA2334"/>
    <w:rsid w:val="00AA4DC4"/>
    <w:rsid w:val="00AB05C6"/>
    <w:rsid w:val="00AB3244"/>
    <w:rsid w:val="00AB3DA6"/>
    <w:rsid w:val="00AB66D7"/>
    <w:rsid w:val="00AB694F"/>
    <w:rsid w:val="00AC32C6"/>
    <w:rsid w:val="00AD5601"/>
    <w:rsid w:val="00AD7BA1"/>
    <w:rsid w:val="00AE0267"/>
    <w:rsid w:val="00AE19E5"/>
    <w:rsid w:val="00AF1933"/>
    <w:rsid w:val="00AF5247"/>
    <w:rsid w:val="00AF78C6"/>
    <w:rsid w:val="00AF7CB4"/>
    <w:rsid w:val="00B00961"/>
    <w:rsid w:val="00B01ADE"/>
    <w:rsid w:val="00B06BA6"/>
    <w:rsid w:val="00B12237"/>
    <w:rsid w:val="00B12F3C"/>
    <w:rsid w:val="00B133E0"/>
    <w:rsid w:val="00B21C23"/>
    <w:rsid w:val="00B22EB0"/>
    <w:rsid w:val="00B24747"/>
    <w:rsid w:val="00B24A6A"/>
    <w:rsid w:val="00B24FF7"/>
    <w:rsid w:val="00B2543C"/>
    <w:rsid w:val="00B26192"/>
    <w:rsid w:val="00B262CD"/>
    <w:rsid w:val="00B27D9C"/>
    <w:rsid w:val="00B316D1"/>
    <w:rsid w:val="00B33B11"/>
    <w:rsid w:val="00B33C20"/>
    <w:rsid w:val="00B33C5E"/>
    <w:rsid w:val="00B34731"/>
    <w:rsid w:val="00B3755D"/>
    <w:rsid w:val="00B40A66"/>
    <w:rsid w:val="00B41090"/>
    <w:rsid w:val="00B50CF4"/>
    <w:rsid w:val="00B57332"/>
    <w:rsid w:val="00B57B39"/>
    <w:rsid w:val="00B60E9C"/>
    <w:rsid w:val="00B616D6"/>
    <w:rsid w:val="00B6632A"/>
    <w:rsid w:val="00B67C18"/>
    <w:rsid w:val="00B67D4F"/>
    <w:rsid w:val="00B74F9C"/>
    <w:rsid w:val="00B75183"/>
    <w:rsid w:val="00B769E3"/>
    <w:rsid w:val="00B801E0"/>
    <w:rsid w:val="00B80489"/>
    <w:rsid w:val="00B83422"/>
    <w:rsid w:val="00B841C1"/>
    <w:rsid w:val="00B8765A"/>
    <w:rsid w:val="00B955B3"/>
    <w:rsid w:val="00BA15F6"/>
    <w:rsid w:val="00BB0CAA"/>
    <w:rsid w:val="00BB11A8"/>
    <w:rsid w:val="00BB1CCC"/>
    <w:rsid w:val="00BB2026"/>
    <w:rsid w:val="00BB3B92"/>
    <w:rsid w:val="00BC1BD9"/>
    <w:rsid w:val="00BC2BC9"/>
    <w:rsid w:val="00BC3B43"/>
    <w:rsid w:val="00BC52DF"/>
    <w:rsid w:val="00BC5535"/>
    <w:rsid w:val="00BD0BB7"/>
    <w:rsid w:val="00BD1289"/>
    <w:rsid w:val="00BD21C2"/>
    <w:rsid w:val="00BD3F00"/>
    <w:rsid w:val="00BD6A1A"/>
    <w:rsid w:val="00BE02A7"/>
    <w:rsid w:val="00BE2788"/>
    <w:rsid w:val="00BE3265"/>
    <w:rsid w:val="00BE6F4C"/>
    <w:rsid w:val="00BE7E70"/>
    <w:rsid w:val="00BF00E9"/>
    <w:rsid w:val="00BF460C"/>
    <w:rsid w:val="00BF5F9C"/>
    <w:rsid w:val="00BF64D4"/>
    <w:rsid w:val="00C02F99"/>
    <w:rsid w:val="00C03770"/>
    <w:rsid w:val="00C05D8E"/>
    <w:rsid w:val="00C06B20"/>
    <w:rsid w:val="00C06CBE"/>
    <w:rsid w:val="00C123C3"/>
    <w:rsid w:val="00C126DF"/>
    <w:rsid w:val="00C15DBB"/>
    <w:rsid w:val="00C22473"/>
    <w:rsid w:val="00C22E2C"/>
    <w:rsid w:val="00C25076"/>
    <w:rsid w:val="00C277CB"/>
    <w:rsid w:val="00C3376D"/>
    <w:rsid w:val="00C34A52"/>
    <w:rsid w:val="00C369C9"/>
    <w:rsid w:val="00C444EA"/>
    <w:rsid w:val="00C50DF8"/>
    <w:rsid w:val="00C5114A"/>
    <w:rsid w:val="00C53125"/>
    <w:rsid w:val="00C55BB5"/>
    <w:rsid w:val="00C57F33"/>
    <w:rsid w:val="00C64953"/>
    <w:rsid w:val="00C745E3"/>
    <w:rsid w:val="00C7467B"/>
    <w:rsid w:val="00C75C2E"/>
    <w:rsid w:val="00C766EF"/>
    <w:rsid w:val="00C773FC"/>
    <w:rsid w:val="00C807AA"/>
    <w:rsid w:val="00C80EE6"/>
    <w:rsid w:val="00C817A7"/>
    <w:rsid w:val="00C861B2"/>
    <w:rsid w:val="00C86975"/>
    <w:rsid w:val="00CA2A8B"/>
    <w:rsid w:val="00CA4DCE"/>
    <w:rsid w:val="00CA54C6"/>
    <w:rsid w:val="00CA65E9"/>
    <w:rsid w:val="00CB4339"/>
    <w:rsid w:val="00CB49F9"/>
    <w:rsid w:val="00CB6A55"/>
    <w:rsid w:val="00CC06D4"/>
    <w:rsid w:val="00CC1890"/>
    <w:rsid w:val="00CC33CC"/>
    <w:rsid w:val="00CC480B"/>
    <w:rsid w:val="00CC72C5"/>
    <w:rsid w:val="00CC7310"/>
    <w:rsid w:val="00CD332E"/>
    <w:rsid w:val="00CD41C2"/>
    <w:rsid w:val="00CD521B"/>
    <w:rsid w:val="00CD7DBD"/>
    <w:rsid w:val="00CE06FC"/>
    <w:rsid w:val="00CE4335"/>
    <w:rsid w:val="00CE665F"/>
    <w:rsid w:val="00CF197E"/>
    <w:rsid w:val="00CF5040"/>
    <w:rsid w:val="00D0229F"/>
    <w:rsid w:val="00D03331"/>
    <w:rsid w:val="00D073EA"/>
    <w:rsid w:val="00D12776"/>
    <w:rsid w:val="00D12D35"/>
    <w:rsid w:val="00D12D70"/>
    <w:rsid w:val="00D17DB4"/>
    <w:rsid w:val="00D2092D"/>
    <w:rsid w:val="00D236EA"/>
    <w:rsid w:val="00D31AFE"/>
    <w:rsid w:val="00D332D6"/>
    <w:rsid w:val="00D346FC"/>
    <w:rsid w:val="00D35444"/>
    <w:rsid w:val="00D3691D"/>
    <w:rsid w:val="00D371C4"/>
    <w:rsid w:val="00D41ADE"/>
    <w:rsid w:val="00D4296D"/>
    <w:rsid w:val="00D431ED"/>
    <w:rsid w:val="00D458F7"/>
    <w:rsid w:val="00D4648E"/>
    <w:rsid w:val="00D471D1"/>
    <w:rsid w:val="00D50A2B"/>
    <w:rsid w:val="00D50E81"/>
    <w:rsid w:val="00D560EF"/>
    <w:rsid w:val="00D56A55"/>
    <w:rsid w:val="00D60EC2"/>
    <w:rsid w:val="00D634D8"/>
    <w:rsid w:val="00D63C2D"/>
    <w:rsid w:val="00D651FF"/>
    <w:rsid w:val="00D65A32"/>
    <w:rsid w:val="00D71DEB"/>
    <w:rsid w:val="00D7374F"/>
    <w:rsid w:val="00D73882"/>
    <w:rsid w:val="00D74A71"/>
    <w:rsid w:val="00D80609"/>
    <w:rsid w:val="00D82BB6"/>
    <w:rsid w:val="00D83EBA"/>
    <w:rsid w:val="00D8505B"/>
    <w:rsid w:val="00D85062"/>
    <w:rsid w:val="00D96CBF"/>
    <w:rsid w:val="00DA100A"/>
    <w:rsid w:val="00DA205E"/>
    <w:rsid w:val="00DA25AD"/>
    <w:rsid w:val="00DA41DB"/>
    <w:rsid w:val="00DA73E5"/>
    <w:rsid w:val="00DA7689"/>
    <w:rsid w:val="00DB0090"/>
    <w:rsid w:val="00DB1679"/>
    <w:rsid w:val="00DC2F1C"/>
    <w:rsid w:val="00DC2F84"/>
    <w:rsid w:val="00DC4BA2"/>
    <w:rsid w:val="00DD3EC5"/>
    <w:rsid w:val="00DD4C8D"/>
    <w:rsid w:val="00DD6134"/>
    <w:rsid w:val="00DD7FB4"/>
    <w:rsid w:val="00DE0FD4"/>
    <w:rsid w:val="00DE2BA1"/>
    <w:rsid w:val="00DE477C"/>
    <w:rsid w:val="00DE7B41"/>
    <w:rsid w:val="00DE7CB6"/>
    <w:rsid w:val="00DF1C7E"/>
    <w:rsid w:val="00DF269B"/>
    <w:rsid w:val="00DF3FB5"/>
    <w:rsid w:val="00DF4AB0"/>
    <w:rsid w:val="00DF66EE"/>
    <w:rsid w:val="00DF6776"/>
    <w:rsid w:val="00E00245"/>
    <w:rsid w:val="00E00371"/>
    <w:rsid w:val="00E0694A"/>
    <w:rsid w:val="00E07A31"/>
    <w:rsid w:val="00E17346"/>
    <w:rsid w:val="00E21BE2"/>
    <w:rsid w:val="00E22994"/>
    <w:rsid w:val="00E23047"/>
    <w:rsid w:val="00E23270"/>
    <w:rsid w:val="00E27BC3"/>
    <w:rsid w:val="00E3020A"/>
    <w:rsid w:val="00E309FD"/>
    <w:rsid w:val="00E403D4"/>
    <w:rsid w:val="00E403F2"/>
    <w:rsid w:val="00E40561"/>
    <w:rsid w:val="00E414F9"/>
    <w:rsid w:val="00E42DD4"/>
    <w:rsid w:val="00E4533C"/>
    <w:rsid w:val="00E50150"/>
    <w:rsid w:val="00E5049F"/>
    <w:rsid w:val="00E504D8"/>
    <w:rsid w:val="00E61308"/>
    <w:rsid w:val="00E61E70"/>
    <w:rsid w:val="00E632DC"/>
    <w:rsid w:val="00E64653"/>
    <w:rsid w:val="00E64D3E"/>
    <w:rsid w:val="00E67E38"/>
    <w:rsid w:val="00E76995"/>
    <w:rsid w:val="00E80E43"/>
    <w:rsid w:val="00E8311C"/>
    <w:rsid w:val="00E879A7"/>
    <w:rsid w:val="00E87A04"/>
    <w:rsid w:val="00E911D1"/>
    <w:rsid w:val="00E922B4"/>
    <w:rsid w:val="00E92489"/>
    <w:rsid w:val="00E94534"/>
    <w:rsid w:val="00E9711C"/>
    <w:rsid w:val="00E97970"/>
    <w:rsid w:val="00EA3F58"/>
    <w:rsid w:val="00EA4003"/>
    <w:rsid w:val="00EA4FF4"/>
    <w:rsid w:val="00EA6F61"/>
    <w:rsid w:val="00EB0151"/>
    <w:rsid w:val="00EB2B49"/>
    <w:rsid w:val="00EB5B3E"/>
    <w:rsid w:val="00EB7ED2"/>
    <w:rsid w:val="00EC43C8"/>
    <w:rsid w:val="00EC50AC"/>
    <w:rsid w:val="00EC7313"/>
    <w:rsid w:val="00ED1806"/>
    <w:rsid w:val="00ED205C"/>
    <w:rsid w:val="00ED36BD"/>
    <w:rsid w:val="00ED3F02"/>
    <w:rsid w:val="00ED457C"/>
    <w:rsid w:val="00EE0709"/>
    <w:rsid w:val="00EE0B92"/>
    <w:rsid w:val="00EE0F0E"/>
    <w:rsid w:val="00EE12C8"/>
    <w:rsid w:val="00EE2860"/>
    <w:rsid w:val="00EE68D2"/>
    <w:rsid w:val="00EF14B7"/>
    <w:rsid w:val="00EF3F0F"/>
    <w:rsid w:val="00EF44AD"/>
    <w:rsid w:val="00EF530C"/>
    <w:rsid w:val="00F014F8"/>
    <w:rsid w:val="00F02C0B"/>
    <w:rsid w:val="00F03432"/>
    <w:rsid w:val="00F0426C"/>
    <w:rsid w:val="00F06BD2"/>
    <w:rsid w:val="00F13937"/>
    <w:rsid w:val="00F13F80"/>
    <w:rsid w:val="00F17267"/>
    <w:rsid w:val="00F22886"/>
    <w:rsid w:val="00F24A30"/>
    <w:rsid w:val="00F27587"/>
    <w:rsid w:val="00F307F9"/>
    <w:rsid w:val="00F3131F"/>
    <w:rsid w:val="00F32538"/>
    <w:rsid w:val="00F34A00"/>
    <w:rsid w:val="00F34D93"/>
    <w:rsid w:val="00F4320A"/>
    <w:rsid w:val="00F435BA"/>
    <w:rsid w:val="00F4389F"/>
    <w:rsid w:val="00F4431B"/>
    <w:rsid w:val="00F60CF6"/>
    <w:rsid w:val="00F62AEB"/>
    <w:rsid w:val="00F639C2"/>
    <w:rsid w:val="00F654EA"/>
    <w:rsid w:val="00F655F3"/>
    <w:rsid w:val="00F66A6D"/>
    <w:rsid w:val="00F707BD"/>
    <w:rsid w:val="00F72010"/>
    <w:rsid w:val="00F7477C"/>
    <w:rsid w:val="00F76428"/>
    <w:rsid w:val="00F77798"/>
    <w:rsid w:val="00F77B4D"/>
    <w:rsid w:val="00F820F7"/>
    <w:rsid w:val="00F83A44"/>
    <w:rsid w:val="00F85C22"/>
    <w:rsid w:val="00F86B12"/>
    <w:rsid w:val="00F87AC6"/>
    <w:rsid w:val="00F9085A"/>
    <w:rsid w:val="00F91B05"/>
    <w:rsid w:val="00F94E53"/>
    <w:rsid w:val="00F96143"/>
    <w:rsid w:val="00F979AC"/>
    <w:rsid w:val="00FA02CE"/>
    <w:rsid w:val="00FA6353"/>
    <w:rsid w:val="00FA74E8"/>
    <w:rsid w:val="00FB32DE"/>
    <w:rsid w:val="00FB3ADA"/>
    <w:rsid w:val="00FB420A"/>
    <w:rsid w:val="00FB56E2"/>
    <w:rsid w:val="00FB6885"/>
    <w:rsid w:val="00FB7A50"/>
    <w:rsid w:val="00FC0DF5"/>
    <w:rsid w:val="00FC44B5"/>
    <w:rsid w:val="00FC6127"/>
    <w:rsid w:val="00FC7A4D"/>
    <w:rsid w:val="00FD08A0"/>
    <w:rsid w:val="00FD1F63"/>
    <w:rsid w:val="00FD2E42"/>
    <w:rsid w:val="00FD4AA6"/>
    <w:rsid w:val="00FD53CC"/>
    <w:rsid w:val="00FE1AA9"/>
    <w:rsid w:val="00FE2B9E"/>
    <w:rsid w:val="00FE4679"/>
    <w:rsid w:val="00FE6123"/>
    <w:rsid w:val="00FE6555"/>
    <w:rsid w:val="00FE6E03"/>
    <w:rsid w:val="00FF442C"/>
    <w:rsid w:val="00FF51E1"/>
    <w:rsid w:val="00FF5862"/>
    <w:rsid w:val="00FF6DFD"/>
    <w:rsid w:val="0B1A7D55"/>
    <w:rsid w:val="160F7351"/>
    <w:rsid w:val="166C66DA"/>
    <w:rsid w:val="19FE64FE"/>
    <w:rsid w:val="1F0F3CCB"/>
    <w:rsid w:val="1F174156"/>
    <w:rsid w:val="1F4C0E8E"/>
    <w:rsid w:val="26C7050D"/>
    <w:rsid w:val="31386135"/>
    <w:rsid w:val="3C962C19"/>
    <w:rsid w:val="3E794544"/>
    <w:rsid w:val="3EB41207"/>
    <w:rsid w:val="42333BC2"/>
    <w:rsid w:val="46B8645C"/>
    <w:rsid w:val="48DC283F"/>
    <w:rsid w:val="4BA01E85"/>
    <w:rsid w:val="4C7B48A0"/>
    <w:rsid w:val="4F801848"/>
    <w:rsid w:val="51204A96"/>
    <w:rsid w:val="54B353DA"/>
    <w:rsid w:val="566D43C3"/>
    <w:rsid w:val="62B14C4E"/>
    <w:rsid w:val="63BA0C03"/>
    <w:rsid w:val="63C70F2B"/>
    <w:rsid w:val="65527649"/>
    <w:rsid w:val="76433D5F"/>
    <w:rsid w:val="7A6A72C6"/>
    <w:rsid w:val="7EE96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text"/>
    <w:basedOn w:val="1"/>
    <w:link w:val="20"/>
    <w:qFormat/>
    <w:uiPriority w:val="0"/>
    <w:pPr>
      <w:jc w:val="left"/>
    </w:pPr>
  </w:style>
  <w:style w:type="paragraph" w:styleId="4">
    <w:name w:val="Body Text Indent"/>
    <w:basedOn w:val="1"/>
    <w:qFormat/>
    <w:uiPriority w:val="0"/>
    <w:pPr>
      <w:widowControl/>
      <w:spacing w:before="100" w:beforeAutospacing="1" w:after="100" w:afterAutospacing="1"/>
      <w:jc w:val="left"/>
    </w:pPr>
    <w:rPr>
      <w:rFonts w:ascii="宋体" w:hAnsi="宋体" w:cs="宋体"/>
      <w:kern w:val="0"/>
      <w:sz w:val="24"/>
    </w:rPr>
  </w:style>
  <w:style w:type="paragraph" w:styleId="5">
    <w:name w:val="Body Text Indent 2"/>
    <w:basedOn w:val="1"/>
    <w:qFormat/>
    <w:uiPriority w:val="0"/>
    <w:pPr>
      <w:widowControl/>
      <w:spacing w:before="100" w:beforeAutospacing="1" w:after="100" w:afterAutospacing="1"/>
      <w:jc w:val="left"/>
    </w:pPr>
    <w:rPr>
      <w:rFonts w:ascii="宋体" w:hAnsi="宋体" w:cs="宋体"/>
      <w:kern w:val="0"/>
      <w:sz w:val="24"/>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21"/>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3">
    <w:name w:val="Strong"/>
    <w:qFormat/>
    <w:uiPriority w:val="0"/>
    <w:rPr>
      <w:b/>
      <w:bCs/>
    </w:rPr>
  </w:style>
  <w:style w:type="character" w:styleId="14">
    <w:name w:val="Hyperlink"/>
    <w:qFormat/>
    <w:uiPriority w:val="0"/>
    <w:rPr>
      <w:color w:val="0068B7"/>
      <w:u w:val="none"/>
    </w:rPr>
  </w:style>
  <w:style w:type="character" w:styleId="15">
    <w:name w:val="annotation reference"/>
    <w:basedOn w:val="12"/>
    <w:qFormat/>
    <w:uiPriority w:val="0"/>
    <w:rPr>
      <w:sz w:val="21"/>
      <w:szCs w:val="21"/>
    </w:rPr>
  </w:style>
  <w:style w:type="character" w:customStyle="1" w:styleId="16">
    <w:name w:val="141"/>
    <w:qFormat/>
    <w:uiPriority w:val="0"/>
    <w:rPr>
      <w:sz w:val="21"/>
      <w:szCs w:val="21"/>
    </w:rPr>
  </w:style>
  <w:style w:type="character" w:customStyle="1" w:styleId="17">
    <w:name w:val="ztag pre"/>
    <w:basedOn w:val="12"/>
    <w:qFormat/>
    <w:uiPriority w:val="0"/>
  </w:style>
  <w:style w:type="character" w:customStyle="1" w:styleId="18">
    <w:name w:val="已访问的超链接1"/>
    <w:qFormat/>
    <w:uiPriority w:val="0"/>
    <w:rPr>
      <w:color w:val="800080"/>
      <w:u w:val="single"/>
    </w:rPr>
  </w:style>
  <w:style w:type="paragraph" w:styleId="19">
    <w:name w:val="List Paragraph"/>
    <w:basedOn w:val="1"/>
    <w:qFormat/>
    <w:uiPriority w:val="34"/>
    <w:pPr>
      <w:ind w:firstLine="420" w:firstLineChars="200"/>
    </w:pPr>
  </w:style>
  <w:style w:type="character" w:customStyle="1" w:styleId="20">
    <w:name w:val="批注文字 字符"/>
    <w:basedOn w:val="12"/>
    <w:link w:val="3"/>
    <w:qFormat/>
    <w:uiPriority w:val="0"/>
    <w:rPr>
      <w:kern w:val="2"/>
      <w:sz w:val="21"/>
      <w:szCs w:val="24"/>
    </w:rPr>
  </w:style>
  <w:style w:type="character" w:customStyle="1" w:styleId="21">
    <w:name w:val="批注主题 字符"/>
    <w:basedOn w:val="20"/>
    <w:link w:val="9"/>
    <w:qFormat/>
    <w:uiPriority w:val="0"/>
    <w:rPr>
      <w:b/>
      <w:bCs/>
      <w:kern w:val="2"/>
      <w:sz w:val="21"/>
      <w:szCs w:val="24"/>
    </w:rPr>
  </w:style>
  <w:style w:type="character" w:customStyle="1" w:styleId="22">
    <w:name w:val="未处理的提及1"/>
    <w:basedOn w:val="1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02C02F-0DEB-48A1-86C7-1E0D0A2413C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484</Words>
  <Characters>2764</Characters>
  <Lines>23</Lines>
  <Paragraphs>6</Paragraphs>
  <TotalTime>0</TotalTime>
  <ScaleCrop>false</ScaleCrop>
  <LinksUpToDate>false</LinksUpToDate>
  <CharactersWithSpaces>3242</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2019-03-29T08:14:00Z</dcterms:created>
  <dc:creator>全美国际教育协会</dc:creator>
  <cp:lastModifiedBy>USIEA-Melody</cp:lastModifiedBy>
  <cp:lastPrinted>2011-12-16T08:54:00Z</cp:lastPrinted>
  <dcterms:modified xsi:type="dcterms:W3CDTF">2019-08-21T08:14:34Z</dcterms:modified>
  <dc:title>加州大学河滨分校短期访学项目</dc:title>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