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招标采购管理平台(V1.0)</w:t>
      </w:r>
    </w:p>
    <w:p/>
    <w:p>
      <w:pPr>
        <w:jc w:val="center"/>
        <w:rPr>
          <w:b/>
          <w:sz w:val="72"/>
        </w:rPr>
      </w:pPr>
    </w:p>
    <w:p>
      <w:pPr>
        <w:jc w:val="center"/>
        <w:rPr>
          <w:b/>
          <w:sz w:val="72"/>
        </w:rPr>
      </w:pPr>
      <w:r>
        <w:rPr>
          <w:rFonts w:hint="eastAsia"/>
          <w:b/>
          <w:sz w:val="72"/>
          <w:lang w:val="en-US" w:eastAsia="zh-CN"/>
        </w:rPr>
        <w:t>项目</w:t>
      </w:r>
      <w:bookmarkStart w:id="0" w:name="_GoBack"/>
      <w:bookmarkEnd w:id="0"/>
      <w:r>
        <w:rPr>
          <w:rFonts w:hint="eastAsia"/>
          <w:b/>
          <w:sz w:val="72"/>
        </w:rPr>
        <w:t>申报部门</w:t>
      </w:r>
    </w:p>
    <w:p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平台使用说明手册</w:t>
      </w:r>
    </w:p>
    <w:p>
      <w:pPr>
        <w:jc w:val="center"/>
        <w:rPr>
          <w:b/>
          <w:sz w:val="72"/>
        </w:rPr>
      </w:pPr>
    </w:p>
    <w:p>
      <w:pPr>
        <w:jc w:val="center"/>
        <w:rPr>
          <w:rFonts w:hint="eastAsia"/>
          <w:b/>
          <w:sz w:val="72"/>
        </w:rPr>
      </w:pPr>
    </w:p>
    <w:p>
      <w:pPr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技术</w:t>
      </w:r>
      <w:r>
        <w:rPr>
          <w:rFonts w:ascii="黑体" w:hAnsi="黑体" w:eastAsia="黑体"/>
          <w:sz w:val="48"/>
          <w:szCs w:val="48"/>
        </w:rPr>
        <w:t>支持：四川责派信息技术有限公司</w:t>
      </w:r>
    </w:p>
    <w:p>
      <w:pPr>
        <w:jc w:val="center"/>
        <w:rPr>
          <w:rFonts w:hint="eastAsia"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二〇一九年</w:t>
      </w:r>
      <w:r>
        <w:rPr>
          <w:rFonts w:ascii="黑体" w:hAnsi="黑体" w:eastAsia="黑体"/>
          <w:sz w:val="48"/>
          <w:szCs w:val="48"/>
        </w:rPr>
        <w:t>三月</w:t>
      </w:r>
    </w:p>
    <w:p>
      <w:pPr>
        <w:widowControl/>
        <w:jc w:val="left"/>
      </w:pPr>
      <w:r>
        <w:br w:type="page"/>
      </w:r>
    </w:p>
    <w:p>
      <w:pPr>
        <w:rPr>
          <w:rFonts w:hint="eastAsia"/>
        </w:rPr>
      </w:pPr>
    </w:p>
    <w:p>
      <w:pPr>
        <w:jc w:val="center"/>
        <w:rPr>
          <w:rFonts w:ascii="黑体" w:hAnsi="黑体" w:eastAsia="黑体"/>
          <w:b/>
          <w:sz w:val="40"/>
        </w:rPr>
      </w:pPr>
      <w:r>
        <w:rPr>
          <w:rFonts w:hint="eastAsia" w:ascii="黑体" w:hAnsi="黑体" w:eastAsia="黑体"/>
          <w:b/>
          <w:sz w:val="40"/>
        </w:rPr>
        <w:t>申报</w:t>
      </w:r>
      <w:r>
        <w:rPr>
          <w:rFonts w:ascii="黑体" w:hAnsi="黑体" w:eastAsia="黑体"/>
          <w:b/>
          <w:sz w:val="40"/>
        </w:rPr>
        <w:t>部门</w:t>
      </w:r>
      <w:r>
        <w:rPr>
          <w:rFonts w:hint="eastAsia" w:ascii="黑体" w:hAnsi="黑体" w:eastAsia="黑体"/>
          <w:b/>
          <w:sz w:val="40"/>
        </w:rPr>
        <w:t>主要功能</w:t>
      </w:r>
    </w:p>
    <w:p>
      <w:pPr>
        <w:jc w:val="center"/>
        <w:rPr>
          <w:rFonts w:ascii="仿宋" w:hAnsi="仿宋" w:eastAsia="仿宋"/>
          <w:b/>
          <w:sz w:val="40"/>
        </w:rPr>
      </w:pPr>
    </w:p>
    <w:p>
      <w:pPr>
        <w:jc w:val="center"/>
        <w:rPr>
          <w:rFonts w:hint="eastAsia" w:ascii="仿宋" w:hAnsi="仿宋" w:eastAsia="仿宋"/>
          <w:b/>
          <w:sz w:val="40"/>
          <w:lang w:eastAsia="zh-CN"/>
        </w:rPr>
      </w:pPr>
      <w:r>
        <w:rPr>
          <w:rFonts w:hint="eastAsia" w:ascii="仿宋" w:hAnsi="仿宋" w:eastAsia="仿宋"/>
          <w:b/>
          <w:sz w:val="40"/>
          <w:lang w:eastAsia="zh-CN"/>
        </w:rPr>
        <w:drawing>
          <wp:inline distT="0" distB="0" distL="114300" distR="114300">
            <wp:extent cx="6750050" cy="4929505"/>
            <wp:effectExtent l="6350" t="0" r="6350" b="0"/>
            <wp:docPr id="22" name="图示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>
      <w:pPr>
        <w:jc w:val="center"/>
        <w:rPr>
          <w:rFonts w:ascii="仿宋" w:hAnsi="仿宋" w:eastAsia="仿宋"/>
          <w:b/>
          <w:sz w:val="40"/>
        </w:rPr>
      </w:pPr>
    </w:p>
    <w:p>
      <w:pPr>
        <w:rPr>
          <w:rFonts w:hint="eastAsia"/>
        </w:rPr>
      </w:pPr>
    </w:p>
    <w:p>
      <w:pPr>
        <w:pStyle w:val="3"/>
      </w:pPr>
      <w:r>
        <w:rPr>
          <w:rFonts w:hint="eastAsia"/>
        </w:rPr>
        <w:t>一、登录</w:t>
      </w:r>
    </w:p>
    <w:p>
      <w:pPr>
        <w:jc w:val="left"/>
        <w:rPr>
          <w:rFonts w:hint="eastAsia"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图1.</w:t>
      </w:r>
      <w:r>
        <w:rPr>
          <w:rFonts w:ascii="仿宋" w:hAnsi="仿宋" w:eastAsia="仿宋"/>
          <w:b/>
          <w:sz w:val="28"/>
        </w:rPr>
        <w:t xml:space="preserve">1   </w:t>
      </w:r>
      <w:r>
        <w:rPr>
          <w:rFonts w:hint="eastAsia" w:ascii="仿宋" w:hAnsi="仿宋" w:eastAsia="仿宋"/>
          <w:sz w:val="28"/>
          <w:szCs w:val="28"/>
        </w:rPr>
        <w:t>登录界面。</w:t>
      </w:r>
    </w:p>
    <w:p>
      <w:pPr>
        <w:jc w:val="center"/>
        <w:rPr>
          <w:rFonts w:ascii="新宋体" w:hAnsi="新宋体" w:eastAsia="新宋体"/>
        </w:rPr>
      </w:pPr>
      <w:r>
        <w:drawing>
          <wp:inline distT="0" distB="0" distL="0" distR="0">
            <wp:extent cx="8972550" cy="42703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76250" cy="4272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用户</w:t>
      </w:r>
      <w:r>
        <w:rPr>
          <w:rFonts w:ascii="仿宋" w:hAnsi="仿宋" w:eastAsia="仿宋"/>
          <w:sz w:val="28"/>
          <w:szCs w:val="28"/>
        </w:rPr>
        <w:t>通过用户名和密码进行登录，如</w:t>
      </w:r>
      <w:r>
        <w:rPr>
          <w:rFonts w:hint="eastAsia" w:ascii="仿宋" w:hAnsi="仿宋" w:eastAsia="仿宋"/>
          <w:sz w:val="28"/>
          <w:szCs w:val="28"/>
        </w:rPr>
        <w:t>与</w:t>
      </w:r>
      <w:r>
        <w:rPr>
          <w:rFonts w:ascii="仿宋" w:hAnsi="仿宋" w:eastAsia="仿宋"/>
          <w:sz w:val="28"/>
          <w:szCs w:val="28"/>
        </w:rPr>
        <w:t>问题可以点击</w:t>
      </w:r>
      <w:r>
        <w:rPr>
          <w:rFonts w:hint="eastAsia" w:ascii="仿宋" w:hAnsi="仿宋" w:eastAsia="仿宋"/>
          <w:sz w:val="28"/>
          <w:szCs w:val="28"/>
        </w:rPr>
        <w:t>“</w:t>
      </w:r>
      <w:r>
        <w:rPr>
          <w:rFonts w:ascii="仿宋" w:hAnsi="仿宋" w:eastAsia="仿宋"/>
          <w:sz w:val="28"/>
          <w:szCs w:val="28"/>
        </w:rPr>
        <w:t>帮助中心</w:t>
      </w:r>
      <w:r>
        <w:rPr>
          <w:rFonts w:hint="eastAsia" w:ascii="仿宋" w:hAnsi="仿宋" w:eastAsia="仿宋"/>
          <w:sz w:val="28"/>
          <w:szCs w:val="28"/>
        </w:rPr>
        <w:t>”。</w:t>
      </w:r>
    </w:p>
    <w:p>
      <w:pPr>
        <w:rPr>
          <w:rFonts w:ascii="新宋体" w:hAnsi="新宋体" w:eastAsia="新宋体"/>
        </w:rPr>
      </w:pPr>
    </w:p>
    <w:p>
      <w:pPr>
        <w:widowControl/>
        <w:jc w:val="left"/>
        <w:rPr>
          <w:rFonts w:ascii="新宋体" w:hAnsi="新宋体" w:eastAsia="新宋体"/>
        </w:rPr>
      </w:pPr>
      <w:r>
        <w:rPr>
          <w:rFonts w:ascii="新宋体" w:hAnsi="新宋体" w:eastAsia="新宋体"/>
        </w:rPr>
        <w:br w:type="page"/>
      </w:r>
    </w:p>
    <w:p>
      <w:pPr>
        <w:rPr>
          <w:rFonts w:ascii="新宋体" w:hAnsi="新宋体" w:eastAsia="新宋体"/>
        </w:rPr>
      </w:pPr>
    </w:p>
    <w:p>
      <w:pPr>
        <w:jc w:val="left"/>
        <w:rPr>
          <w:rFonts w:hint="eastAsia"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图1.</w:t>
      </w:r>
      <w:r>
        <w:rPr>
          <w:rFonts w:ascii="仿宋" w:hAnsi="仿宋" w:eastAsia="仿宋"/>
          <w:b/>
          <w:sz w:val="28"/>
        </w:rPr>
        <w:t xml:space="preserve">2    </w:t>
      </w:r>
      <w:r>
        <w:rPr>
          <w:rFonts w:hint="eastAsia" w:ascii="仿宋" w:hAnsi="仿宋" w:eastAsia="仿宋"/>
          <w:sz w:val="28"/>
          <w:szCs w:val="28"/>
        </w:rPr>
        <w:t>帮助</w:t>
      </w:r>
      <w:r>
        <w:rPr>
          <w:rFonts w:ascii="仿宋" w:hAnsi="仿宋" w:eastAsia="仿宋"/>
          <w:sz w:val="28"/>
          <w:szCs w:val="28"/>
        </w:rPr>
        <w:t>中心界面</w:t>
      </w:r>
    </w:p>
    <w:p>
      <w:pPr>
        <w:jc w:val="center"/>
        <w:rPr>
          <w:rFonts w:ascii="新宋体" w:hAnsi="新宋体" w:eastAsia="新宋体"/>
        </w:rPr>
      </w:pPr>
      <w:r>
        <w:drawing>
          <wp:inline distT="0" distB="0" distL="0" distR="0">
            <wp:extent cx="9124950" cy="503364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28837" cy="503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150"/>
        <w:rPr>
          <w:rFonts w:hint="eastAsia" w:ascii="新宋体" w:hAnsi="新宋体" w:eastAsia="新宋体"/>
        </w:rPr>
      </w:pPr>
      <w:r>
        <w:rPr>
          <w:rFonts w:hint="eastAsia" w:ascii="仿宋" w:hAnsi="仿宋" w:eastAsia="仿宋"/>
          <w:sz w:val="28"/>
          <w:szCs w:val="28"/>
        </w:rPr>
        <w:t>用户按照不同类型</w:t>
      </w:r>
      <w:r>
        <w:rPr>
          <w:rFonts w:ascii="仿宋" w:hAnsi="仿宋" w:eastAsia="仿宋"/>
          <w:sz w:val="28"/>
          <w:szCs w:val="28"/>
        </w:rPr>
        <w:t>的角色下载使用说明书</w:t>
      </w:r>
      <w:r>
        <w:rPr>
          <w:rFonts w:hint="eastAsia" w:ascii="仿宋" w:hAnsi="仿宋" w:eastAsia="仿宋"/>
          <w:sz w:val="28"/>
          <w:szCs w:val="28"/>
        </w:rPr>
        <w:t>。同时</w:t>
      </w:r>
      <w:r>
        <w:rPr>
          <w:rFonts w:ascii="仿宋" w:hAnsi="仿宋" w:eastAsia="仿宋"/>
          <w:sz w:val="28"/>
          <w:szCs w:val="28"/>
        </w:rPr>
        <w:t>也可以拨打</w:t>
      </w:r>
      <w:r>
        <w:rPr>
          <w:rFonts w:hint="eastAsia" w:ascii="仿宋" w:hAnsi="仿宋" w:eastAsia="仿宋"/>
          <w:sz w:val="28"/>
          <w:szCs w:val="28"/>
        </w:rPr>
        <w:t>我单位</w:t>
      </w:r>
      <w:r>
        <w:rPr>
          <w:rFonts w:ascii="仿宋" w:hAnsi="仿宋" w:eastAsia="仿宋"/>
          <w:sz w:val="28"/>
          <w:szCs w:val="28"/>
        </w:rPr>
        <w:t>的维护电话</w:t>
      </w:r>
      <w:r>
        <w:rPr>
          <w:rFonts w:hint="eastAsia" w:ascii="仿宋" w:hAnsi="仿宋" w:eastAsia="仿宋"/>
          <w:sz w:val="28"/>
          <w:szCs w:val="28"/>
        </w:rPr>
        <w:t>寻求</w:t>
      </w:r>
      <w:r>
        <w:rPr>
          <w:rFonts w:ascii="仿宋" w:hAnsi="仿宋" w:eastAsia="仿宋"/>
          <w:sz w:val="28"/>
          <w:szCs w:val="28"/>
        </w:rPr>
        <w:t>解决。</w:t>
      </w:r>
    </w:p>
    <w:p>
      <w:pPr>
        <w:rPr>
          <w:rFonts w:ascii="新宋体" w:hAnsi="新宋体" w:eastAsia="新宋体"/>
        </w:rPr>
      </w:pPr>
    </w:p>
    <w:p>
      <w:pPr>
        <w:rPr>
          <w:rFonts w:ascii="新宋体" w:hAnsi="新宋体" w:eastAsia="新宋体"/>
        </w:rPr>
      </w:pPr>
    </w:p>
    <w:p>
      <w:pPr>
        <w:rPr>
          <w:rFonts w:ascii="新宋体" w:hAnsi="新宋体" w:eastAsia="新宋体"/>
        </w:rPr>
      </w:pPr>
    </w:p>
    <w:p>
      <w:pPr>
        <w:jc w:val="left"/>
        <w:rPr>
          <w:rFonts w:hint="eastAsia"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图1.</w:t>
      </w:r>
      <w:r>
        <w:rPr>
          <w:rFonts w:ascii="仿宋" w:hAnsi="仿宋" w:eastAsia="仿宋"/>
          <w:b/>
          <w:sz w:val="28"/>
        </w:rPr>
        <w:t xml:space="preserve">3    </w:t>
      </w:r>
      <w:r>
        <w:rPr>
          <w:rFonts w:hint="eastAsia" w:ascii="仿宋" w:hAnsi="仿宋" w:eastAsia="仿宋"/>
          <w:sz w:val="28"/>
          <w:szCs w:val="28"/>
        </w:rPr>
        <w:t>登录成功</w:t>
      </w:r>
      <w:r>
        <w:rPr>
          <w:rFonts w:ascii="仿宋" w:hAnsi="仿宋" w:eastAsia="仿宋"/>
          <w:sz w:val="28"/>
          <w:szCs w:val="28"/>
        </w:rPr>
        <w:t>后界面</w:t>
      </w:r>
    </w:p>
    <w:p>
      <w:pPr>
        <w:jc w:val="center"/>
        <w:rPr>
          <w:rFonts w:ascii="新宋体" w:hAnsi="新宋体" w:eastAsia="新宋体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72390</wp:posOffset>
                </wp:positionV>
                <wp:extent cx="323850" cy="276225"/>
                <wp:effectExtent l="0" t="0" r="19050" b="28575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05.75pt;margin-top:5.7pt;height:21.75pt;width:25.5pt;z-index:251659264;v-text-anchor:middle;mso-width-relative:page;mso-height-relative:page;" filled="f" stroked="t" coordsize="21600,21600" o:gfxdata="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/gSxU9YAAAAJAQAADwAA&#10;AAAAAAABACAAAAAiAAAAZHJzL2Rvd25yZXYueG1sUEsBAhQAFAAAAAgAh07iQKE6FMBRAgAAgQQA&#10;AA4AAAAAAAAAAQAgAAAAJQEAAGRycy9lMm9Eb2MueG1sUEsFBgAAAAAGAAYAWQEAAOgFAAAAAA==&#10;">
                <v:fill on="f" focussize="0,0"/>
                <v:stroke weight="1pt" color="#FFFF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8934450" cy="450469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40920" cy="450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新宋体" w:hAnsi="新宋体" w:eastAsia="新宋体"/>
        </w:rPr>
      </w:pPr>
    </w:p>
    <w:p>
      <w:pPr>
        <w:ind w:firstLine="945" w:firstLineChars="450"/>
        <w:jc w:val="left"/>
        <w:rPr>
          <w:rFonts w:hint="eastAsia" w:ascii="新宋体" w:hAnsi="新宋体" w:eastAsia="新宋体"/>
        </w:rPr>
      </w:pPr>
      <w:r>
        <w:drawing>
          <wp:inline distT="0" distB="0" distL="0" distR="0">
            <wp:extent cx="589915" cy="418465"/>
            <wp:effectExtent l="0" t="0" r="635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  <w:szCs w:val="28"/>
        </w:rPr>
        <w:t>此</w:t>
      </w:r>
      <w:r>
        <w:rPr>
          <w:rFonts w:ascii="仿宋" w:hAnsi="仿宋" w:eastAsia="仿宋"/>
          <w:sz w:val="28"/>
          <w:szCs w:val="28"/>
        </w:rPr>
        <w:t>图标为左侧导航菜单</w:t>
      </w:r>
      <w:r>
        <w:rPr>
          <w:rFonts w:hint="eastAsia" w:ascii="仿宋" w:hAnsi="仿宋" w:eastAsia="仿宋"/>
          <w:sz w:val="28"/>
          <w:szCs w:val="28"/>
        </w:rPr>
        <w:t>折叠</w:t>
      </w:r>
      <w:r>
        <w:rPr>
          <w:rFonts w:ascii="仿宋" w:hAnsi="仿宋" w:eastAsia="仿宋"/>
          <w:sz w:val="28"/>
          <w:szCs w:val="28"/>
        </w:rPr>
        <w:t>栏，点击后</w:t>
      </w:r>
      <w:r>
        <w:rPr>
          <w:rFonts w:hint="eastAsia" w:ascii="仿宋" w:hAnsi="仿宋" w:eastAsia="仿宋"/>
          <w:sz w:val="28"/>
          <w:szCs w:val="28"/>
        </w:rPr>
        <w:t>左侧菜单</w:t>
      </w:r>
      <w:r>
        <w:rPr>
          <w:rFonts w:ascii="仿宋" w:hAnsi="仿宋" w:eastAsia="仿宋"/>
          <w:sz w:val="28"/>
          <w:szCs w:val="28"/>
        </w:rPr>
        <w:t>可以折叠为最小化，方便右侧更好的操作。</w:t>
      </w:r>
    </w:p>
    <w:p>
      <w:pPr>
        <w:pStyle w:val="3"/>
        <w:rPr>
          <w:rFonts w:hint="eastAsia"/>
        </w:rPr>
      </w:pPr>
      <w:r>
        <w:rPr>
          <w:rFonts w:hint="eastAsia"/>
        </w:rPr>
        <w:t>二</w:t>
      </w:r>
      <w:r>
        <w:t>、</w:t>
      </w:r>
      <w:r>
        <w:rPr>
          <w:rFonts w:hint="eastAsia"/>
        </w:rPr>
        <w:t>首页</w:t>
      </w:r>
      <w:r>
        <w:t>功能</w:t>
      </w:r>
    </w:p>
    <w:p>
      <w:pPr>
        <w:jc w:val="left"/>
        <w:rPr>
          <w:rFonts w:hint="eastAsia"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图</w:t>
      </w:r>
      <w:r>
        <w:rPr>
          <w:rFonts w:ascii="仿宋" w:hAnsi="仿宋" w:eastAsia="仿宋"/>
          <w:b/>
          <w:sz w:val="28"/>
        </w:rPr>
        <w:t>2</w:t>
      </w:r>
      <w:r>
        <w:rPr>
          <w:rFonts w:hint="eastAsia" w:ascii="仿宋" w:hAnsi="仿宋" w:eastAsia="仿宋"/>
          <w:b/>
          <w:sz w:val="28"/>
        </w:rPr>
        <w:t>.</w:t>
      </w:r>
      <w:r>
        <w:rPr>
          <w:rFonts w:ascii="仿宋" w:hAnsi="仿宋" w:eastAsia="仿宋"/>
          <w:b/>
          <w:sz w:val="28"/>
        </w:rPr>
        <w:t xml:space="preserve">1    </w:t>
      </w:r>
      <w:r>
        <w:rPr>
          <w:rFonts w:hint="eastAsia" w:ascii="仿宋" w:hAnsi="仿宋" w:eastAsia="仿宋"/>
          <w:sz w:val="28"/>
          <w:szCs w:val="28"/>
        </w:rPr>
        <w:t>首页</w:t>
      </w:r>
      <w:r>
        <w:rPr>
          <w:rFonts w:ascii="仿宋" w:hAnsi="仿宋" w:eastAsia="仿宋"/>
          <w:sz w:val="28"/>
          <w:szCs w:val="28"/>
        </w:rPr>
        <w:t>界面</w:t>
      </w:r>
    </w:p>
    <w:p>
      <w:pPr>
        <w:jc w:val="center"/>
      </w:pPr>
    </w:p>
    <w:p>
      <w:pPr>
        <w:jc w:val="center"/>
        <w:rPr>
          <w:rFonts w:ascii="新宋体" w:hAnsi="新宋体" w:eastAsia="新宋体"/>
        </w:rPr>
      </w:pPr>
      <w:r>
        <w:drawing>
          <wp:inline distT="0" distB="0" distL="0" distR="0">
            <wp:extent cx="6835775" cy="2952750"/>
            <wp:effectExtent l="0" t="0" r="317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rcRect b="41690"/>
                    <a:stretch>
                      <a:fillRect/>
                    </a:stretch>
                  </pic:blipFill>
                  <pic:spPr>
                    <a:xfrm>
                      <a:off x="0" y="0"/>
                      <a:ext cx="6838999" cy="295414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 w:ascii="新宋体" w:hAnsi="新宋体" w:eastAsia="新宋体"/>
        </w:rPr>
      </w:pPr>
      <w:r>
        <w:rPr>
          <w:rFonts w:hint="eastAsia" w:ascii="仿宋" w:hAnsi="仿宋" w:eastAsia="仿宋"/>
          <w:sz w:val="28"/>
          <w:szCs w:val="28"/>
        </w:rPr>
        <w:t>首页共分为</w:t>
      </w:r>
      <w:r>
        <w:rPr>
          <w:rFonts w:ascii="仿宋" w:hAnsi="仿宋" w:eastAsia="仿宋"/>
          <w:sz w:val="28"/>
          <w:szCs w:val="28"/>
        </w:rPr>
        <w:t>四个功能</w:t>
      </w:r>
      <w:r>
        <w:rPr>
          <w:rFonts w:hint="eastAsia" w:ascii="仿宋" w:hAnsi="仿宋" w:eastAsia="仿宋"/>
          <w:sz w:val="28"/>
          <w:szCs w:val="28"/>
        </w:rPr>
        <w:t>板块</w:t>
      </w:r>
      <w:r>
        <w:rPr>
          <w:rFonts w:ascii="仿宋" w:hAnsi="仿宋" w:eastAsia="仿宋"/>
          <w:sz w:val="28"/>
          <w:szCs w:val="28"/>
        </w:rPr>
        <w:t>，即</w:t>
      </w:r>
      <w:r>
        <w:rPr>
          <w:rFonts w:ascii="仿宋" w:hAnsi="仿宋" w:eastAsia="仿宋"/>
          <w:b/>
          <w:sz w:val="28"/>
          <w:szCs w:val="28"/>
        </w:rPr>
        <w:t>任务消息、</w:t>
      </w:r>
      <w:r>
        <w:rPr>
          <w:rFonts w:hint="eastAsia" w:ascii="仿宋" w:hAnsi="仿宋" w:eastAsia="仿宋"/>
          <w:b/>
          <w:sz w:val="28"/>
          <w:szCs w:val="28"/>
        </w:rPr>
        <w:t>通知</w:t>
      </w:r>
      <w:r>
        <w:rPr>
          <w:rFonts w:ascii="仿宋" w:hAnsi="仿宋" w:eastAsia="仿宋"/>
          <w:b/>
          <w:sz w:val="28"/>
          <w:szCs w:val="28"/>
        </w:rPr>
        <w:t>消息、任务预警、数据统计。</w:t>
      </w:r>
      <w:r>
        <w:rPr>
          <w:rFonts w:hint="eastAsia" w:ascii="仿宋" w:hAnsi="仿宋" w:eastAsia="仿宋"/>
          <w:b/>
          <w:sz w:val="28"/>
          <w:szCs w:val="28"/>
        </w:rPr>
        <w:t>任务消息</w:t>
      </w:r>
      <w:r>
        <w:rPr>
          <w:rFonts w:ascii="仿宋" w:hAnsi="仿宋" w:eastAsia="仿宋"/>
          <w:sz w:val="28"/>
          <w:szCs w:val="28"/>
        </w:rPr>
        <w:t>是指</w:t>
      </w:r>
      <w:r>
        <w:rPr>
          <w:rFonts w:hint="eastAsia" w:ascii="仿宋" w:hAnsi="仿宋" w:eastAsia="仿宋"/>
          <w:sz w:val="28"/>
          <w:szCs w:val="28"/>
        </w:rPr>
        <w:t>属于</w:t>
      </w:r>
      <w:r>
        <w:rPr>
          <w:rFonts w:ascii="仿宋" w:hAnsi="仿宋" w:eastAsia="仿宋"/>
          <w:sz w:val="28"/>
          <w:szCs w:val="28"/>
        </w:rPr>
        <w:t>自己</w:t>
      </w:r>
      <w:r>
        <w:rPr>
          <w:rFonts w:hint="eastAsia" w:ascii="仿宋" w:hAnsi="仿宋" w:eastAsia="仿宋"/>
          <w:sz w:val="28"/>
          <w:szCs w:val="28"/>
        </w:rPr>
        <w:t>应该</w:t>
      </w:r>
      <w:r>
        <w:rPr>
          <w:rFonts w:ascii="仿宋" w:hAnsi="仿宋" w:eastAsia="仿宋"/>
          <w:sz w:val="28"/>
          <w:szCs w:val="28"/>
        </w:rPr>
        <w:t>及时完成</w:t>
      </w:r>
      <w:r>
        <w:rPr>
          <w:rFonts w:hint="eastAsia" w:ascii="仿宋" w:hAnsi="仿宋" w:eastAsia="仿宋"/>
          <w:sz w:val="28"/>
          <w:szCs w:val="28"/>
        </w:rPr>
        <w:t>的工作</w:t>
      </w:r>
      <w:r>
        <w:rPr>
          <w:rFonts w:ascii="仿宋" w:hAnsi="仿宋" w:eastAsia="仿宋"/>
          <w:sz w:val="28"/>
          <w:szCs w:val="28"/>
        </w:rPr>
        <w:t>内容提示</w:t>
      </w:r>
      <w:r>
        <w:rPr>
          <w:rFonts w:hint="eastAsia" w:ascii="仿宋" w:hAnsi="仿宋" w:eastAsia="仿宋"/>
          <w:sz w:val="28"/>
          <w:szCs w:val="28"/>
        </w:rPr>
        <w:t>；</w:t>
      </w:r>
      <w:r>
        <w:rPr>
          <w:rFonts w:hint="eastAsia" w:ascii="仿宋" w:hAnsi="仿宋" w:eastAsia="仿宋"/>
          <w:b/>
          <w:sz w:val="28"/>
          <w:szCs w:val="28"/>
        </w:rPr>
        <w:t>通知消息</w:t>
      </w:r>
      <w:r>
        <w:rPr>
          <w:rFonts w:ascii="仿宋" w:hAnsi="仿宋" w:eastAsia="仿宋"/>
          <w:sz w:val="28"/>
          <w:szCs w:val="28"/>
        </w:rPr>
        <w:t>是指</w:t>
      </w:r>
      <w:r>
        <w:rPr>
          <w:rFonts w:hint="eastAsia" w:ascii="仿宋" w:hAnsi="仿宋" w:eastAsia="仿宋"/>
          <w:sz w:val="28"/>
          <w:szCs w:val="28"/>
        </w:rPr>
        <w:t>招标</w:t>
      </w:r>
      <w:r>
        <w:rPr>
          <w:rFonts w:ascii="仿宋" w:hAnsi="仿宋" w:eastAsia="仿宋"/>
          <w:sz w:val="28"/>
          <w:szCs w:val="28"/>
        </w:rPr>
        <w:t>采购管理部门</w:t>
      </w:r>
      <w:r>
        <w:rPr>
          <w:rFonts w:hint="eastAsia" w:ascii="仿宋" w:hAnsi="仿宋" w:eastAsia="仿宋"/>
          <w:sz w:val="28"/>
          <w:szCs w:val="28"/>
        </w:rPr>
        <w:t>（归口</w:t>
      </w:r>
      <w:r>
        <w:rPr>
          <w:rFonts w:ascii="仿宋" w:hAnsi="仿宋" w:eastAsia="仿宋"/>
          <w:sz w:val="28"/>
          <w:szCs w:val="28"/>
        </w:rPr>
        <w:t>管理部门</w:t>
      </w:r>
      <w:r>
        <w:rPr>
          <w:rFonts w:hint="eastAsia" w:ascii="仿宋" w:hAnsi="仿宋" w:eastAsia="仿宋"/>
          <w:sz w:val="28"/>
          <w:szCs w:val="28"/>
        </w:rPr>
        <w:t>）发布</w:t>
      </w:r>
      <w:r>
        <w:rPr>
          <w:rFonts w:ascii="仿宋" w:hAnsi="仿宋" w:eastAsia="仿宋"/>
          <w:sz w:val="28"/>
          <w:szCs w:val="28"/>
        </w:rPr>
        <w:t>的关于招标采购相关事宜的通知；</w:t>
      </w:r>
      <w:r>
        <w:rPr>
          <w:rFonts w:hint="eastAsia" w:ascii="仿宋" w:hAnsi="仿宋" w:eastAsia="仿宋"/>
          <w:b/>
          <w:sz w:val="28"/>
          <w:szCs w:val="28"/>
        </w:rPr>
        <w:t>任务预警</w:t>
      </w:r>
      <w:r>
        <w:rPr>
          <w:rFonts w:ascii="仿宋" w:hAnsi="仿宋" w:eastAsia="仿宋"/>
          <w:sz w:val="28"/>
          <w:szCs w:val="28"/>
        </w:rPr>
        <w:t>是</w:t>
      </w:r>
      <w:r>
        <w:rPr>
          <w:rFonts w:hint="eastAsia" w:ascii="仿宋" w:hAnsi="仿宋" w:eastAsia="仿宋"/>
          <w:sz w:val="28"/>
          <w:szCs w:val="28"/>
        </w:rPr>
        <w:t>指属于</w:t>
      </w:r>
      <w:r>
        <w:rPr>
          <w:rFonts w:ascii="仿宋" w:hAnsi="仿宋" w:eastAsia="仿宋"/>
          <w:sz w:val="28"/>
          <w:szCs w:val="28"/>
        </w:rPr>
        <w:t>自己</w:t>
      </w:r>
      <w:r>
        <w:rPr>
          <w:rFonts w:hint="eastAsia" w:ascii="仿宋" w:hAnsi="仿宋" w:eastAsia="仿宋"/>
          <w:sz w:val="28"/>
          <w:szCs w:val="28"/>
        </w:rPr>
        <w:t>应该按时</w:t>
      </w:r>
      <w:r>
        <w:rPr>
          <w:rFonts w:ascii="仿宋" w:hAnsi="仿宋" w:eastAsia="仿宋"/>
          <w:sz w:val="28"/>
          <w:szCs w:val="28"/>
        </w:rPr>
        <w:t>完成</w:t>
      </w:r>
      <w:r>
        <w:rPr>
          <w:rFonts w:hint="eastAsia" w:ascii="仿宋" w:hAnsi="仿宋" w:eastAsia="仿宋"/>
          <w:sz w:val="28"/>
          <w:szCs w:val="28"/>
        </w:rPr>
        <w:t>却</w:t>
      </w:r>
      <w:r>
        <w:rPr>
          <w:rFonts w:ascii="仿宋" w:hAnsi="仿宋" w:eastAsia="仿宋"/>
          <w:sz w:val="28"/>
          <w:szCs w:val="28"/>
        </w:rPr>
        <w:t>还未完成通知</w:t>
      </w:r>
      <w:r>
        <w:rPr>
          <w:rFonts w:hint="eastAsia" w:ascii="仿宋" w:hAnsi="仿宋" w:eastAsia="仿宋"/>
          <w:sz w:val="28"/>
          <w:szCs w:val="28"/>
        </w:rPr>
        <w:t>消息</w:t>
      </w:r>
      <w:r>
        <w:rPr>
          <w:rFonts w:ascii="仿宋" w:hAnsi="仿宋" w:eastAsia="仿宋"/>
          <w:sz w:val="28"/>
          <w:szCs w:val="28"/>
        </w:rPr>
        <w:t>；</w:t>
      </w:r>
      <w:r>
        <w:rPr>
          <w:rFonts w:hint="eastAsia" w:ascii="仿宋" w:hAnsi="仿宋" w:eastAsia="仿宋"/>
          <w:b/>
          <w:sz w:val="28"/>
          <w:szCs w:val="28"/>
        </w:rPr>
        <w:t>数据</w:t>
      </w:r>
      <w:r>
        <w:rPr>
          <w:rFonts w:ascii="仿宋" w:hAnsi="仿宋" w:eastAsia="仿宋"/>
          <w:b/>
          <w:sz w:val="28"/>
          <w:szCs w:val="28"/>
        </w:rPr>
        <w:t>统计</w:t>
      </w:r>
      <w:r>
        <w:rPr>
          <w:rFonts w:hint="eastAsia" w:ascii="仿宋" w:hAnsi="仿宋" w:eastAsia="仿宋"/>
          <w:sz w:val="28"/>
          <w:szCs w:val="28"/>
        </w:rPr>
        <w:t>是指关于</w:t>
      </w:r>
      <w:r>
        <w:rPr>
          <w:rFonts w:ascii="仿宋" w:hAnsi="仿宋" w:eastAsia="仿宋"/>
          <w:sz w:val="28"/>
          <w:szCs w:val="28"/>
        </w:rPr>
        <w:t>采购项目数量</w:t>
      </w:r>
      <w:r>
        <w:rPr>
          <w:rFonts w:hint="eastAsia" w:ascii="仿宋" w:hAnsi="仿宋" w:eastAsia="仿宋"/>
          <w:sz w:val="28"/>
          <w:szCs w:val="28"/>
        </w:rPr>
        <w:t>与</w:t>
      </w:r>
      <w:r>
        <w:rPr>
          <w:rFonts w:ascii="仿宋" w:hAnsi="仿宋" w:eastAsia="仿宋"/>
          <w:sz w:val="28"/>
          <w:szCs w:val="28"/>
        </w:rPr>
        <w:t>金额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集采项目数量</w:t>
      </w:r>
      <w:r>
        <w:rPr>
          <w:rFonts w:hint="eastAsia" w:ascii="仿宋" w:hAnsi="仿宋" w:eastAsia="仿宋"/>
          <w:sz w:val="28"/>
          <w:szCs w:val="28"/>
        </w:rPr>
        <w:t>与</w:t>
      </w:r>
      <w:r>
        <w:rPr>
          <w:rFonts w:ascii="仿宋" w:hAnsi="仿宋" w:eastAsia="仿宋"/>
          <w:sz w:val="28"/>
          <w:szCs w:val="28"/>
        </w:rPr>
        <w:t>金额</w:t>
      </w:r>
      <w:r>
        <w:rPr>
          <w:rFonts w:hint="eastAsia" w:ascii="仿宋" w:hAnsi="仿宋" w:eastAsia="仿宋"/>
          <w:sz w:val="28"/>
          <w:szCs w:val="28"/>
        </w:rPr>
        <w:t>、非</w:t>
      </w:r>
      <w:r>
        <w:rPr>
          <w:rFonts w:ascii="仿宋" w:hAnsi="仿宋" w:eastAsia="仿宋"/>
          <w:sz w:val="28"/>
          <w:szCs w:val="28"/>
        </w:rPr>
        <w:t>集采项目数量</w:t>
      </w:r>
      <w:r>
        <w:rPr>
          <w:rFonts w:hint="eastAsia" w:ascii="仿宋" w:hAnsi="仿宋" w:eastAsia="仿宋"/>
          <w:sz w:val="28"/>
          <w:szCs w:val="28"/>
        </w:rPr>
        <w:t>与</w:t>
      </w:r>
      <w:r>
        <w:rPr>
          <w:rFonts w:ascii="仿宋" w:hAnsi="仿宋" w:eastAsia="仿宋"/>
          <w:sz w:val="28"/>
          <w:szCs w:val="28"/>
        </w:rPr>
        <w:t>金额</w:t>
      </w:r>
      <w:r>
        <w:rPr>
          <w:rFonts w:hint="eastAsia" w:ascii="仿宋" w:hAnsi="仿宋" w:eastAsia="仿宋"/>
          <w:sz w:val="28"/>
          <w:szCs w:val="28"/>
        </w:rPr>
        <w:t>等的</w:t>
      </w:r>
      <w:r>
        <w:rPr>
          <w:rFonts w:ascii="仿宋" w:hAnsi="仿宋" w:eastAsia="仿宋"/>
          <w:sz w:val="28"/>
          <w:szCs w:val="28"/>
        </w:rPr>
        <w:t>实时数据统计。</w:t>
      </w:r>
      <w:r>
        <w:rPr>
          <w:rFonts w:hint="eastAsia" w:ascii="仿宋" w:hAnsi="仿宋" w:eastAsia="仿宋"/>
          <w:sz w:val="28"/>
          <w:szCs w:val="28"/>
        </w:rPr>
        <w:t>蓝色</w:t>
      </w:r>
      <w:r>
        <w:rPr>
          <w:rFonts w:ascii="仿宋" w:hAnsi="仿宋" w:eastAsia="仿宋"/>
          <w:sz w:val="28"/>
          <w:szCs w:val="28"/>
        </w:rPr>
        <w:t>字体代表还未完成或还未查看，点击后可自动链接到</w:t>
      </w:r>
      <w:r>
        <w:rPr>
          <w:rFonts w:hint="eastAsia" w:ascii="仿宋" w:hAnsi="仿宋" w:eastAsia="仿宋"/>
          <w:sz w:val="28"/>
          <w:szCs w:val="28"/>
        </w:rPr>
        <w:t>相应</w:t>
      </w:r>
      <w:r>
        <w:rPr>
          <w:rFonts w:ascii="仿宋" w:hAnsi="仿宋" w:eastAsia="仿宋"/>
          <w:sz w:val="28"/>
          <w:szCs w:val="28"/>
        </w:rPr>
        <w:t>的步骤进行操作。</w:t>
      </w:r>
    </w:p>
    <w:p>
      <w:pPr>
        <w:rPr>
          <w:rFonts w:ascii="新宋体" w:hAnsi="新宋体" w:eastAsia="新宋体"/>
        </w:rPr>
      </w:pPr>
    </w:p>
    <w:p>
      <w:pPr>
        <w:widowControl/>
        <w:jc w:val="left"/>
        <w:rPr>
          <w:rFonts w:ascii="新宋体" w:hAnsi="新宋体" w:eastAsia="新宋体"/>
        </w:rPr>
      </w:pPr>
      <w:r>
        <w:rPr>
          <w:rFonts w:ascii="新宋体" w:hAnsi="新宋体" w:eastAsia="新宋体"/>
        </w:rPr>
        <w:br w:type="page"/>
      </w:r>
    </w:p>
    <w:p>
      <w:pPr>
        <w:rPr>
          <w:rFonts w:hint="eastAsia" w:ascii="新宋体" w:hAnsi="新宋体" w:eastAsia="新宋体"/>
        </w:rPr>
      </w:pP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项目申报</w:t>
      </w:r>
    </w:p>
    <w:p>
      <w:pPr>
        <w:numPr>
          <w:numId w:val="0"/>
        </w:numPr>
        <w:jc w:val="left"/>
        <w:rPr>
          <w:rFonts w:hint="eastAsia" w:ascii="仿宋" w:hAnsi="仿宋" w:eastAsia="仿宋"/>
          <w:b/>
          <w:sz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图3.1 </w:t>
      </w:r>
      <w:r>
        <w:rPr>
          <w:rFonts w:hint="eastAsia" w:ascii="仿宋" w:hAnsi="仿宋" w:eastAsia="仿宋"/>
          <w:sz w:val="28"/>
          <w:szCs w:val="28"/>
        </w:rPr>
        <w:t>项目申报</w:t>
      </w:r>
      <w:r>
        <w:rPr>
          <w:rFonts w:ascii="仿宋" w:hAnsi="仿宋" w:eastAsia="仿宋"/>
          <w:sz w:val="28"/>
          <w:szCs w:val="28"/>
        </w:rPr>
        <w:t>界面</w:t>
      </w:r>
    </w:p>
    <w:p>
      <w:pPr>
        <w:jc w:val="center"/>
      </w:pPr>
    </w:p>
    <w:p>
      <w:pPr>
        <w:jc w:val="center"/>
        <w:rPr>
          <w:rFonts w:ascii="新宋体" w:hAnsi="新宋体" w:eastAsia="新宋体"/>
        </w:rPr>
      </w:pPr>
      <w:r>
        <w:drawing>
          <wp:inline distT="0" distB="0" distL="0" distR="0">
            <wp:extent cx="5617845" cy="4006850"/>
            <wp:effectExtent l="0" t="0" r="190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4534" cy="401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新宋体" w:hAnsi="新宋体" w:eastAsia="新宋体"/>
        </w:rPr>
      </w:pPr>
      <w:r>
        <w:rPr>
          <w:rFonts w:hint="eastAsia" w:ascii="仿宋" w:hAnsi="仿宋" w:eastAsia="仿宋"/>
          <w:sz w:val="28"/>
          <w:szCs w:val="28"/>
        </w:rPr>
        <w:t>项目申报</w:t>
      </w:r>
      <w:r>
        <w:rPr>
          <w:rFonts w:ascii="仿宋" w:hAnsi="仿宋" w:eastAsia="仿宋"/>
          <w:sz w:val="28"/>
          <w:szCs w:val="28"/>
        </w:rPr>
        <w:t>界面共分为</w:t>
      </w:r>
      <w:r>
        <w:rPr>
          <w:rFonts w:ascii="仿宋" w:hAnsi="仿宋" w:eastAsia="仿宋"/>
          <w:b/>
          <w:sz w:val="28"/>
          <w:szCs w:val="28"/>
        </w:rPr>
        <w:t>新建申报</w:t>
      </w:r>
      <w:r>
        <w:rPr>
          <w:rFonts w:hint="eastAsia" w:ascii="仿宋" w:hAnsi="仿宋" w:eastAsia="仿宋"/>
          <w:b/>
          <w:sz w:val="28"/>
          <w:szCs w:val="28"/>
        </w:rPr>
        <w:t>、</w:t>
      </w:r>
      <w:r>
        <w:rPr>
          <w:rFonts w:ascii="仿宋" w:hAnsi="仿宋" w:eastAsia="仿宋"/>
          <w:b/>
          <w:sz w:val="28"/>
          <w:szCs w:val="28"/>
        </w:rPr>
        <w:t>项目进度、申报列表</w:t>
      </w:r>
      <w:r>
        <w:rPr>
          <w:rFonts w:hint="eastAsia" w:ascii="仿宋" w:hAnsi="仿宋" w:eastAsia="仿宋"/>
          <w:b/>
          <w:sz w:val="28"/>
          <w:szCs w:val="28"/>
        </w:rPr>
        <w:t>，</w:t>
      </w:r>
      <w:r>
        <w:rPr>
          <w:rFonts w:ascii="仿宋" w:hAnsi="仿宋" w:eastAsia="仿宋"/>
          <w:b/>
          <w:sz w:val="28"/>
          <w:szCs w:val="28"/>
        </w:rPr>
        <w:t>新建申报</w:t>
      </w:r>
      <w:r>
        <w:rPr>
          <w:rFonts w:hint="eastAsia" w:ascii="仿宋" w:hAnsi="仿宋" w:eastAsia="仿宋"/>
          <w:sz w:val="28"/>
          <w:szCs w:val="28"/>
        </w:rPr>
        <w:t>是指</w:t>
      </w:r>
      <w:r>
        <w:rPr>
          <w:rFonts w:ascii="仿宋" w:hAnsi="仿宋" w:eastAsia="仿宋"/>
          <w:sz w:val="28"/>
          <w:szCs w:val="28"/>
        </w:rPr>
        <w:t>自己需要申报进行采购项目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ascii="仿宋" w:hAnsi="仿宋" w:eastAsia="仿宋"/>
          <w:sz w:val="28"/>
          <w:szCs w:val="28"/>
        </w:rPr>
        <w:t>基本情况填写</w:t>
      </w:r>
      <w:r>
        <w:rPr>
          <w:rFonts w:hint="eastAsia" w:ascii="仿宋" w:hAnsi="仿宋" w:eastAsia="仿宋"/>
          <w:sz w:val="28"/>
          <w:szCs w:val="28"/>
        </w:rPr>
        <w:t>；</w:t>
      </w:r>
      <w:r>
        <w:rPr>
          <w:rFonts w:hint="eastAsia" w:ascii="仿宋" w:hAnsi="仿宋" w:eastAsia="仿宋"/>
          <w:b/>
          <w:sz w:val="28"/>
          <w:szCs w:val="28"/>
        </w:rPr>
        <w:t>项目进度</w:t>
      </w:r>
      <w:r>
        <w:rPr>
          <w:rFonts w:hint="eastAsia" w:ascii="仿宋" w:hAnsi="仿宋" w:eastAsia="仿宋"/>
          <w:sz w:val="28"/>
          <w:szCs w:val="28"/>
        </w:rPr>
        <w:t>是指</w:t>
      </w:r>
      <w:r>
        <w:rPr>
          <w:rFonts w:ascii="仿宋" w:hAnsi="仿宋" w:eastAsia="仿宋"/>
          <w:sz w:val="28"/>
          <w:szCs w:val="28"/>
        </w:rPr>
        <w:t>自己</w:t>
      </w:r>
      <w:r>
        <w:rPr>
          <w:rFonts w:hint="eastAsia" w:ascii="仿宋" w:hAnsi="仿宋" w:eastAsia="仿宋"/>
          <w:sz w:val="28"/>
          <w:szCs w:val="28"/>
        </w:rPr>
        <w:t>所有</w:t>
      </w:r>
      <w:r>
        <w:rPr>
          <w:rFonts w:ascii="仿宋" w:hAnsi="仿宋" w:eastAsia="仿宋"/>
          <w:sz w:val="28"/>
          <w:szCs w:val="28"/>
        </w:rPr>
        <w:t>申报</w:t>
      </w:r>
      <w:r>
        <w:rPr>
          <w:rFonts w:hint="eastAsia" w:ascii="仿宋" w:hAnsi="仿宋" w:eastAsia="仿宋"/>
          <w:sz w:val="28"/>
          <w:szCs w:val="28"/>
        </w:rPr>
        <w:t>项目</w:t>
      </w:r>
      <w:r>
        <w:rPr>
          <w:rFonts w:ascii="仿宋" w:hAnsi="仿宋" w:eastAsia="仿宋"/>
          <w:sz w:val="28"/>
          <w:szCs w:val="28"/>
        </w:rPr>
        <w:t>的</w:t>
      </w:r>
      <w:r>
        <w:rPr>
          <w:rFonts w:hint="eastAsia" w:ascii="仿宋" w:hAnsi="仿宋" w:eastAsia="仿宋"/>
          <w:sz w:val="28"/>
          <w:szCs w:val="28"/>
        </w:rPr>
        <w:t>执行</w:t>
      </w:r>
      <w:r>
        <w:rPr>
          <w:rFonts w:ascii="仿宋" w:hAnsi="仿宋" w:eastAsia="仿宋"/>
          <w:sz w:val="28"/>
          <w:szCs w:val="28"/>
        </w:rPr>
        <w:t>情况</w:t>
      </w:r>
      <w:r>
        <w:rPr>
          <w:rFonts w:hint="eastAsia" w:ascii="仿宋" w:hAnsi="仿宋" w:eastAsia="仿宋"/>
          <w:sz w:val="28"/>
          <w:szCs w:val="28"/>
        </w:rPr>
        <w:t>；</w:t>
      </w:r>
      <w:r>
        <w:rPr>
          <w:rFonts w:hint="eastAsia" w:ascii="仿宋" w:hAnsi="仿宋" w:eastAsia="仿宋"/>
          <w:b/>
          <w:sz w:val="28"/>
          <w:szCs w:val="28"/>
        </w:rPr>
        <w:t>申报列表</w:t>
      </w:r>
      <w:r>
        <w:rPr>
          <w:rFonts w:hint="eastAsia" w:ascii="仿宋" w:hAnsi="仿宋" w:eastAsia="仿宋"/>
          <w:sz w:val="28"/>
          <w:szCs w:val="28"/>
        </w:rPr>
        <w:t>是指</w:t>
      </w:r>
      <w:r>
        <w:rPr>
          <w:rFonts w:ascii="仿宋" w:hAnsi="仿宋" w:eastAsia="仿宋"/>
          <w:sz w:val="28"/>
          <w:szCs w:val="28"/>
        </w:rPr>
        <w:t>自己</w:t>
      </w:r>
      <w:r>
        <w:rPr>
          <w:rFonts w:hint="eastAsia" w:ascii="仿宋" w:hAnsi="仿宋" w:eastAsia="仿宋"/>
          <w:sz w:val="28"/>
          <w:szCs w:val="28"/>
        </w:rPr>
        <w:t>所有</w:t>
      </w:r>
      <w:r>
        <w:rPr>
          <w:rFonts w:ascii="仿宋" w:hAnsi="仿宋" w:eastAsia="仿宋"/>
          <w:sz w:val="28"/>
          <w:szCs w:val="28"/>
        </w:rPr>
        <w:t>申报</w:t>
      </w:r>
      <w:r>
        <w:rPr>
          <w:rFonts w:hint="eastAsia" w:ascii="仿宋" w:hAnsi="仿宋" w:eastAsia="仿宋"/>
          <w:sz w:val="28"/>
          <w:szCs w:val="28"/>
        </w:rPr>
        <w:t>项目</w:t>
      </w:r>
      <w:r>
        <w:rPr>
          <w:rFonts w:ascii="仿宋" w:hAnsi="仿宋" w:eastAsia="仿宋"/>
          <w:sz w:val="28"/>
          <w:szCs w:val="28"/>
        </w:rPr>
        <w:t>的</w:t>
      </w:r>
      <w:r>
        <w:rPr>
          <w:rFonts w:hint="eastAsia" w:ascii="仿宋" w:hAnsi="仿宋" w:eastAsia="仿宋"/>
          <w:sz w:val="28"/>
          <w:szCs w:val="28"/>
        </w:rPr>
        <w:t>清单</w:t>
      </w:r>
      <w:r>
        <w:rPr>
          <w:rFonts w:ascii="仿宋" w:hAnsi="仿宋" w:eastAsia="仿宋"/>
          <w:sz w:val="28"/>
          <w:szCs w:val="28"/>
        </w:rPr>
        <w:t>一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览表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widowControl/>
        <w:jc w:val="left"/>
        <w:rPr>
          <w:rFonts w:ascii="新宋体" w:hAnsi="新宋体" w:eastAsia="新宋体"/>
        </w:rPr>
      </w:pPr>
    </w:p>
    <w:p>
      <w:pPr>
        <w:widowControl/>
        <w:jc w:val="left"/>
        <w:rPr>
          <w:rFonts w:ascii="新宋体" w:hAnsi="新宋体" w:eastAsia="新宋体"/>
        </w:rPr>
      </w:pPr>
      <w:r>
        <w:rPr>
          <w:rFonts w:ascii="新宋体" w:hAnsi="新宋体" w:eastAsia="新宋体"/>
        </w:rPr>
        <w:br w:type="page"/>
      </w:r>
    </w:p>
    <w:p>
      <w:pPr>
        <w:widowControl/>
        <w:jc w:val="left"/>
        <w:rPr>
          <w:rFonts w:ascii="新宋体" w:hAnsi="新宋体" w:eastAsia="新宋体"/>
        </w:rPr>
      </w:pPr>
    </w:p>
    <w:p>
      <w:pPr>
        <w:jc w:val="left"/>
        <w:rPr>
          <w:rFonts w:hint="eastAsia"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图</w:t>
      </w:r>
      <w:r>
        <w:rPr>
          <w:rFonts w:ascii="仿宋" w:hAnsi="仿宋" w:eastAsia="仿宋"/>
          <w:b/>
          <w:sz w:val="28"/>
        </w:rPr>
        <w:t>2</w:t>
      </w:r>
      <w:r>
        <w:rPr>
          <w:rFonts w:hint="eastAsia" w:ascii="仿宋" w:hAnsi="仿宋" w:eastAsia="仿宋"/>
          <w:b/>
          <w:sz w:val="28"/>
        </w:rPr>
        <w:t>.</w:t>
      </w:r>
      <w:r>
        <w:rPr>
          <w:rFonts w:ascii="仿宋" w:hAnsi="仿宋" w:eastAsia="仿宋"/>
          <w:b/>
          <w:sz w:val="28"/>
        </w:rPr>
        <w:t xml:space="preserve">2    </w:t>
      </w:r>
      <w:r>
        <w:rPr>
          <w:rFonts w:hint="eastAsia" w:ascii="仿宋" w:hAnsi="仿宋" w:eastAsia="仿宋"/>
          <w:sz w:val="28"/>
          <w:szCs w:val="28"/>
        </w:rPr>
        <w:t>项目申报-</w:t>
      </w:r>
      <w:r>
        <w:rPr>
          <w:rFonts w:ascii="仿宋" w:hAnsi="仿宋" w:eastAsia="仿宋"/>
          <w:sz w:val="28"/>
          <w:szCs w:val="28"/>
        </w:rPr>
        <w:t>新建申报界面</w:t>
      </w:r>
    </w:p>
    <w:p>
      <w:pPr>
        <w:jc w:val="center"/>
        <w:rPr>
          <w:rFonts w:ascii="新宋体" w:hAnsi="新宋体" w:eastAsia="新宋体"/>
        </w:rPr>
      </w:pPr>
      <w:r>
        <w:tab/>
      </w:r>
      <w:r>
        <w:drawing>
          <wp:inline distT="0" distB="0" distL="0" distR="0">
            <wp:extent cx="8376285" cy="4184015"/>
            <wp:effectExtent l="0" t="0" r="5715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376285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新宋体" w:hAnsi="新宋体" w:eastAsia="新宋体"/>
        </w:rPr>
      </w:pPr>
      <w:r>
        <w:rPr>
          <w:rFonts w:ascii="仿宋" w:hAnsi="仿宋" w:eastAsia="仿宋"/>
          <w:b/>
          <w:sz w:val="28"/>
          <w:szCs w:val="28"/>
        </w:rPr>
        <w:t>新建申报</w:t>
      </w:r>
      <w:r>
        <w:rPr>
          <w:rFonts w:hint="eastAsia" w:ascii="仿宋" w:hAnsi="仿宋" w:eastAsia="仿宋"/>
          <w:sz w:val="28"/>
          <w:szCs w:val="28"/>
        </w:rPr>
        <w:t>按照是否“属于</w:t>
      </w:r>
      <w:r>
        <w:rPr>
          <w:rFonts w:ascii="仿宋" w:hAnsi="仿宋" w:eastAsia="仿宋"/>
          <w:sz w:val="28"/>
          <w:szCs w:val="28"/>
        </w:rPr>
        <w:t>政府集中采购</w:t>
      </w:r>
      <w:r>
        <w:rPr>
          <w:rFonts w:hint="eastAsia" w:ascii="仿宋" w:hAnsi="仿宋" w:eastAsia="仿宋"/>
          <w:sz w:val="28"/>
          <w:szCs w:val="28"/>
        </w:rPr>
        <w:t>目录”来</w:t>
      </w:r>
      <w:r>
        <w:rPr>
          <w:rFonts w:ascii="仿宋" w:hAnsi="仿宋" w:eastAsia="仿宋"/>
          <w:sz w:val="28"/>
          <w:szCs w:val="28"/>
        </w:rPr>
        <w:t>进行分类申报，</w:t>
      </w:r>
      <w:r>
        <w:rPr>
          <w:rFonts w:hint="eastAsia" w:ascii="仿宋" w:hAnsi="仿宋" w:eastAsia="仿宋"/>
          <w:sz w:val="28"/>
          <w:szCs w:val="28"/>
        </w:rPr>
        <w:t>申报</w:t>
      </w:r>
      <w:r>
        <w:rPr>
          <w:rFonts w:ascii="仿宋" w:hAnsi="仿宋" w:eastAsia="仿宋"/>
          <w:sz w:val="28"/>
          <w:szCs w:val="28"/>
        </w:rPr>
        <w:t>部门在申报时</w:t>
      </w:r>
      <w:r>
        <w:rPr>
          <w:rFonts w:hint="eastAsia" w:ascii="仿宋" w:hAnsi="仿宋" w:eastAsia="仿宋"/>
          <w:sz w:val="28"/>
          <w:szCs w:val="28"/>
        </w:rPr>
        <w:t>请</w:t>
      </w:r>
      <w:r>
        <w:rPr>
          <w:rFonts w:ascii="仿宋" w:hAnsi="仿宋" w:eastAsia="仿宋"/>
          <w:sz w:val="28"/>
          <w:szCs w:val="28"/>
        </w:rPr>
        <w:t>严格按照集采与非集采进行分类申报，</w:t>
      </w:r>
      <w:r>
        <w:rPr>
          <w:rFonts w:hint="eastAsia" w:ascii="仿宋" w:hAnsi="仿宋" w:eastAsia="仿宋"/>
          <w:sz w:val="28"/>
          <w:szCs w:val="28"/>
        </w:rPr>
        <w:t>可点击</w:t>
      </w:r>
      <w:r>
        <w:rPr>
          <w:rFonts w:ascii="仿宋" w:hAnsi="仿宋" w:eastAsia="仿宋"/>
          <w:sz w:val="28"/>
          <w:szCs w:val="28"/>
        </w:rPr>
        <w:t>浏览右侧蓝色字体</w:t>
      </w:r>
      <w:r>
        <w:rPr>
          <w:rFonts w:hint="eastAsia" w:ascii="仿宋" w:hAnsi="仿宋" w:eastAsia="仿宋"/>
          <w:sz w:val="28"/>
          <w:szCs w:val="28"/>
        </w:rPr>
        <w:t>“</w:t>
      </w:r>
      <w:r>
        <w:rPr>
          <w:rFonts w:hint="eastAsia" w:ascii="仿宋" w:hAnsi="仿宋" w:eastAsia="仿宋"/>
          <w:color w:val="8FAADC" w:themeColor="accent1" w:themeTint="99"/>
          <w:sz w:val="28"/>
          <w:szCs w:val="28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t>《四川省2018-2019年政府</w:t>
      </w:r>
      <w:r>
        <w:rPr>
          <w:rFonts w:ascii="仿宋" w:hAnsi="仿宋" w:eastAsia="仿宋"/>
          <w:color w:val="8FAADC" w:themeColor="accent1" w:themeTint="99"/>
          <w:sz w:val="28"/>
          <w:szCs w:val="28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t>集中采购</w:t>
      </w:r>
      <w:r>
        <w:rPr>
          <w:rFonts w:hint="eastAsia" w:ascii="仿宋" w:hAnsi="仿宋" w:eastAsia="仿宋"/>
          <w:color w:val="8FAADC" w:themeColor="accent1" w:themeTint="99"/>
          <w:sz w:val="28"/>
          <w:szCs w:val="28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t>目录及</w:t>
      </w:r>
      <w:r>
        <w:rPr>
          <w:rFonts w:ascii="仿宋" w:hAnsi="仿宋" w:eastAsia="仿宋"/>
          <w:color w:val="8FAADC" w:themeColor="accent1" w:themeTint="99"/>
          <w:sz w:val="28"/>
          <w:szCs w:val="28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t>采购限额标准</w:t>
      </w:r>
      <w:r>
        <w:rPr>
          <w:rFonts w:hint="eastAsia" w:ascii="仿宋" w:hAnsi="仿宋" w:eastAsia="仿宋"/>
          <w:color w:val="8FAADC" w:themeColor="accent1" w:themeTint="99"/>
          <w:sz w:val="28"/>
          <w:szCs w:val="28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t>》川</w:t>
      </w:r>
      <w:r>
        <w:rPr>
          <w:rFonts w:ascii="仿宋" w:hAnsi="仿宋" w:eastAsia="仿宋"/>
          <w:color w:val="8FAADC" w:themeColor="accent1" w:themeTint="99"/>
          <w:sz w:val="28"/>
          <w:szCs w:val="28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t>办函</w:t>
      </w:r>
      <w:r>
        <w:rPr>
          <w:rFonts w:hint="eastAsia" w:ascii="仿宋" w:hAnsi="仿宋" w:eastAsia="仿宋"/>
          <w:color w:val="8FAADC" w:themeColor="accent1" w:themeTint="99"/>
          <w:sz w:val="28"/>
          <w:szCs w:val="28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t>【2017】208号</w:t>
      </w:r>
      <w:r>
        <w:rPr>
          <w:rFonts w:hint="eastAsia" w:ascii="仿宋" w:hAnsi="仿宋" w:eastAsia="仿宋"/>
          <w:sz w:val="28"/>
          <w:szCs w:val="28"/>
        </w:rPr>
        <w:t>”</w:t>
      </w:r>
      <w:r>
        <w:rPr>
          <w:rFonts w:ascii="仿宋" w:hAnsi="仿宋" w:eastAsia="仿宋"/>
          <w:sz w:val="28"/>
          <w:szCs w:val="28"/>
        </w:rPr>
        <w:t>进行阅读，</w:t>
      </w:r>
      <w:r>
        <w:rPr>
          <w:rFonts w:hint="eastAsia" w:ascii="仿宋" w:hAnsi="仿宋" w:eastAsia="仿宋"/>
          <w:sz w:val="28"/>
          <w:szCs w:val="28"/>
        </w:rPr>
        <w:t>理解</w:t>
      </w:r>
      <w:r>
        <w:rPr>
          <w:rFonts w:ascii="仿宋" w:hAnsi="仿宋" w:eastAsia="仿宋"/>
          <w:sz w:val="28"/>
          <w:szCs w:val="28"/>
        </w:rPr>
        <w:t>集采与非集采的含义。</w:t>
      </w:r>
      <w:r>
        <w:rPr>
          <w:rFonts w:hint="eastAsia" w:ascii="仿宋" w:hAnsi="仿宋" w:eastAsia="仿宋"/>
          <w:sz w:val="28"/>
          <w:szCs w:val="28"/>
        </w:rPr>
        <w:t>同时</w:t>
      </w:r>
      <w:r>
        <w:rPr>
          <w:rFonts w:ascii="仿宋" w:hAnsi="仿宋" w:eastAsia="仿宋"/>
          <w:sz w:val="28"/>
          <w:szCs w:val="28"/>
        </w:rPr>
        <w:t>按照自己所申报项目应该属于的归口部门进行不同的归口申报。</w:t>
      </w:r>
    </w:p>
    <w:p>
      <w:pPr>
        <w:widowControl/>
        <w:jc w:val="left"/>
        <w:rPr>
          <w:rFonts w:ascii="新宋体" w:hAnsi="新宋体" w:eastAsia="新宋体"/>
        </w:rPr>
      </w:pPr>
    </w:p>
    <w:p>
      <w:pPr>
        <w:jc w:val="left"/>
        <w:rPr>
          <w:rFonts w:hint="eastAsia"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图</w:t>
      </w:r>
      <w:r>
        <w:rPr>
          <w:rFonts w:ascii="仿宋" w:hAnsi="仿宋" w:eastAsia="仿宋"/>
          <w:b/>
          <w:sz w:val="28"/>
        </w:rPr>
        <w:t>2</w:t>
      </w:r>
      <w:r>
        <w:rPr>
          <w:rFonts w:hint="eastAsia" w:ascii="仿宋" w:hAnsi="仿宋" w:eastAsia="仿宋"/>
          <w:b/>
          <w:sz w:val="28"/>
        </w:rPr>
        <w:t>.</w:t>
      </w:r>
      <w:r>
        <w:rPr>
          <w:rFonts w:ascii="仿宋" w:hAnsi="仿宋" w:eastAsia="仿宋"/>
          <w:b/>
          <w:sz w:val="28"/>
        </w:rPr>
        <w:t xml:space="preserve">3    </w:t>
      </w:r>
      <w:r>
        <w:rPr>
          <w:rFonts w:hint="eastAsia" w:ascii="仿宋" w:hAnsi="仿宋" w:eastAsia="仿宋"/>
          <w:sz w:val="28"/>
          <w:szCs w:val="28"/>
        </w:rPr>
        <w:t>项目申报-项目进度</w:t>
      </w:r>
      <w:r>
        <w:rPr>
          <w:rFonts w:ascii="仿宋" w:hAnsi="仿宋" w:eastAsia="仿宋"/>
          <w:sz w:val="28"/>
          <w:szCs w:val="28"/>
        </w:rPr>
        <w:t>界面</w:t>
      </w:r>
    </w:p>
    <w:p>
      <w:pPr>
        <w:jc w:val="center"/>
        <w:rPr>
          <w:rFonts w:ascii="新宋体" w:hAnsi="新宋体" w:eastAsia="新宋体"/>
        </w:rPr>
      </w:pPr>
      <w:r>
        <w:tab/>
      </w:r>
      <w:r>
        <w:drawing>
          <wp:inline distT="0" distB="0" distL="0" distR="0">
            <wp:extent cx="9777730" cy="402463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新宋体" w:hAnsi="新宋体" w:eastAsia="新宋体"/>
        </w:rPr>
      </w:pPr>
      <w:r>
        <w:rPr>
          <w:rFonts w:hint="eastAsia" w:ascii="仿宋" w:hAnsi="仿宋" w:eastAsia="仿宋"/>
          <w:b/>
          <w:sz w:val="28"/>
          <w:szCs w:val="28"/>
        </w:rPr>
        <w:t>项目进度</w:t>
      </w:r>
      <w:r>
        <w:rPr>
          <w:rFonts w:hint="eastAsia" w:ascii="仿宋" w:hAnsi="仿宋" w:eastAsia="仿宋"/>
          <w:sz w:val="28"/>
          <w:szCs w:val="28"/>
        </w:rPr>
        <w:t>可以</w:t>
      </w:r>
      <w:r>
        <w:rPr>
          <w:rFonts w:ascii="仿宋" w:hAnsi="仿宋" w:eastAsia="仿宋"/>
          <w:sz w:val="28"/>
          <w:szCs w:val="28"/>
        </w:rPr>
        <w:t>根据项目不同的</w:t>
      </w:r>
      <w:r>
        <w:rPr>
          <w:rFonts w:hint="eastAsia" w:ascii="仿宋" w:hAnsi="仿宋" w:eastAsia="仿宋"/>
          <w:sz w:val="28"/>
          <w:szCs w:val="28"/>
        </w:rPr>
        <w:t>状态</w:t>
      </w:r>
      <w:r>
        <w:rPr>
          <w:rFonts w:ascii="仿宋" w:hAnsi="仿宋" w:eastAsia="仿宋"/>
          <w:sz w:val="28"/>
          <w:szCs w:val="28"/>
        </w:rPr>
        <w:t>进行分类查看，如待论证、论证通过、论证不</w:t>
      </w:r>
      <w:r>
        <w:rPr>
          <w:rFonts w:hint="eastAsia" w:ascii="仿宋" w:hAnsi="仿宋" w:eastAsia="仿宋"/>
          <w:sz w:val="28"/>
          <w:szCs w:val="28"/>
        </w:rPr>
        <w:t>通过</w:t>
      </w:r>
      <w:r>
        <w:rPr>
          <w:rFonts w:ascii="仿宋" w:hAnsi="仿宋" w:eastAsia="仿宋"/>
          <w:sz w:val="28"/>
          <w:szCs w:val="28"/>
        </w:rPr>
        <w:t>、待预算</w:t>
      </w:r>
      <w:r>
        <w:rPr>
          <w:rFonts w:hint="eastAsia" w:ascii="仿宋" w:hAnsi="仿宋" w:eastAsia="仿宋"/>
          <w:sz w:val="28"/>
          <w:szCs w:val="28"/>
        </w:rPr>
        <w:t>执行</w:t>
      </w:r>
      <w:r>
        <w:rPr>
          <w:rFonts w:ascii="仿宋" w:hAnsi="仿宋" w:eastAsia="仿宋"/>
          <w:sz w:val="28"/>
          <w:szCs w:val="28"/>
        </w:rPr>
        <w:t>、已完成预算。</w:t>
      </w:r>
    </w:p>
    <w:p>
      <w:pPr>
        <w:widowControl/>
        <w:jc w:val="left"/>
        <w:rPr>
          <w:rFonts w:ascii="新宋体" w:hAnsi="新宋体" w:eastAsia="新宋体"/>
        </w:rPr>
      </w:pPr>
    </w:p>
    <w:p>
      <w:pPr>
        <w:widowControl/>
        <w:jc w:val="left"/>
        <w:rPr>
          <w:rFonts w:ascii="新宋体" w:hAnsi="新宋体" w:eastAsia="新宋体"/>
        </w:rPr>
      </w:pPr>
    </w:p>
    <w:p>
      <w:pPr>
        <w:widowControl/>
        <w:jc w:val="left"/>
        <w:rPr>
          <w:rFonts w:ascii="新宋体" w:hAnsi="新宋体" w:eastAsia="新宋体"/>
        </w:rPr>
      </w:pPr>
      <w:r>
        <w:rPr>
          <w:rFonts w:ascii="新宋体" w:hAnsi="新宋体" w:eastAsia="新宋体"/>
        </w:rPr>
        <w:br w:type="page"/>
      </w:r>
    </w:p>
    <w:p>
      <w:pPr>
        <w:widowControl/>
        <w:jc w:val="left"/>
        <w:rPr>
          <w:rFonts w:ascii="新宋体" w:hAnsi="新宋体" w:eastAsia="新宋体"/>
        </w:rPr>
      </w:pPr>
    </w:p>
    <w:p>
      <w:pPr>
        <w:jc w:val="left"/>
        <w:rPr>
          <w:rFonts w:hint="eastAsia"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图</w:t>
      </w:r>
      <w:r>
        <w:rPr>
          <w:rFonts w:ascii="仿宋" w:hAnsi="仿宋" w:eastAsia="仿宋"/>
          <w:b/>
          <w:sz w:val="28"/>
        </w:rPr>
        <w:t>2</w:t>
      </w:r>
      <w:r>
        <w:rPr>
          <w:rFonts w:hint="eastAsia" w:ascii="仿宋" w:hAnsi="仿宋" w:eastAsia="仿宋"/>
          <w:b/>
          <w:sz w:val="28"/>
        </w:rPr>
        <w:t>.</w:t>
      </w:r>
      <w:r>
        <w:rPr>
          <w:rFonts w:ascii="仿宋" w:hAnsi="仿宋" w:eastAsia="仿宋"/>
          <w:b/>
          <w:sz w:val="28"/>
        </w:rPr>
        <w:t xml:space="preserve">4    </w:t>
      </w:r>
      <w:r>
        <w:rPr>
          <w:rFonts w:hint="eastAsia" w:ascii="仿宋" w:hAnsi="仿宋" w:eastAsia="仿宋"/>
          <w:sz w:val="28"/>
          <w:szCs w:val="28"/>
        </w:rPr>
        <w:t>项目申报-申报列表</w:t>
      </w:r>
      <w:r>
        <w:rPr>
          <w:rFonts w:ascii="仿宋" w:hAnsi="仿宋" w:eastAsia="仿宋"/>
          <w:sz w:val="28"/>
          <w:szCs w:val="28"/>
        </w:rPr>
        <w:t>界面</w:t>
      </w:r>
    </w:p>
    <w:p>
      <w:pPr>
        <w:jc w:val="center"/>
        <w:rPr>
          <w:rFonts w:ascii="新宋体" w:hAnsi="新宋体" w:eastAsia="新宋体"/>
        </w:rPr>
      </w:pPr>
      <w:r>
        <w:tab/>
      </w:r>
      <w:r>
        <w:drawing>
          <wp:inline distT="0" distB="0" distL="0" distR="0">
            <wp:extent cx="9777730" cy="428815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新宋体" w:hAnsi="新宋体" w:eastAsia="新宋体"/>
        </w:rPr>
      </w:pPr>
      <w:r>
        <w:rPr>
          <w:rFonts w:hint="eastAsia" w:ascii="仿宋" w:hAnsi="仿宋" w:eastAsia="仿宋"/>
          <w:b/>
          <w:sz w:val="28"/>
          <w:szCs w:val="28"/>
        </w:rPr>
        <w:t>申报列表</w:t>
      </w:r>
      <w:r>
        <w:rPr>
          <w:rFonts w:hint="eastAsia" w:ascii="仿宋" w:hAnsi="仿宋" w:eastAsia="仿宋"/>
          <w:sz w:val="28"/>
          <w:szCs w:val="28"/>
        </w:rPr>
        <w:t>可以</w:t>
      </w:r>
      <w:r>
        <w:rPr>
          <w:rFonts w:ascii="仿宋" w:hAnsi="仿宋" w:eastAsia="仿宋"/>
          <w:sz w:val="28"/>
          <w:szCs w:val="28"/>
        </w:rPr>
        <w:t>根据项目不同的</w:t>
      </w:r>
      <w:r>
        <w:rPr>
          <w:rFonts w:hint="eastAsia" w:ascii="仿宋" w:hAnsi="仿宋" w:eastAsia="仿宋"/>
          <w:sz w:val="28"/>
          <w:szCs w:val="28"/>
        </w:rPr>
        <w:t>申报状态</w:t>
      </w:r>
      <w:r>
        <w:rPr>
          <w:rFonts w:ascii="仿宋" w:hAnsi="仿宋" w:eastAsia="仿宋"/>
          <w:sz w:val="28"/>
          <w:szCs w:val="28"/>
        </w:rPr>
        <w:t>进行分类查看，如</w:t>
      </w:r>
      <w:r>
        <w:rPr>
          <w:rFonts w:hint="eastAsia" w:ascii="仿宋" w:hAnsi="仿宋" w:eastAsia="仿宋"/>
          <w:sz w:val="28"/>
          <w:szCs w:val="28"/>
        </w:rPr>
        <w:t>通过与</w:t>
      </w:r>
      <w:r>
        <w:rPr>
          <w:rFonts w:ascii="仿宋" w:hAnsi="仿宋" w:eastAsia="仿宋"/>
          <w:sz w:val="28"/>
          <w:szCs w:val="28"/>
        </w:rPr>
        <w:t>不通过，不通过的项目是指被招标采购管理部门退回的项目，申报部门要及时进行更正填写，</w:t>
      </w:r>
      <w:r>
        <w:rPr>
          <w:rFonts w:hint="eastAsia" w:ascii="仿宋" w:hAnsi="仿宋" w:eastAsia="仿宋"/>
          <w:sz w:val="28"/>
          <w:szCs w:val="28"/>
        </w:rPr>
        <w:t>再次</w:t>
      </w:r>
      <w:r>
        <w:rPr>
          <w:rFonts w:ascii="仿宋" w:hAnsi="仿宋" w:eastAsia="仿宋"/>
          <w:sz w:val="28"/>
          <w:szCs w:val="28"/>
        </w:rPr>
        <w:t>提交。</w:t>
      </w:r>
    </w:p>
    <w:p>
      <w:pPr>
        <w:widowControl/>
        <w:jc w:val="left"/>
        <w:rPr>
          <w:rFonts w:ascii="新宋体" w:hAnsi="新宋体" w:eastAsia="新宋体"/>
        </w:rPr>
      </w:pPr>
    </w:p>
    <w:p>
      <w:pPr>
        <w:widowControl/>
        <w:jc w:val="left"/>
        <w:rPr>
          <w:rFonts w:ascii="新宋体" w:hAnsi="新宋体" w:eastAsia="新宋体"/>
        </w:rPr>
      </w:pPr>
      <w:r>
        <w:rPr>
          <w:rFonts w:ascii="新宋体" w:hAnsi="新宋体" w:eastAsia="新宋体"/>
        </w:rPr>
        <w:br w:type="page"/>
      </w:r>
    </w:p>
    <w:p>
      <w:pPr>
        <w:pStyle w:val="3"/>
        <w:rPr>
          <w:rFonts w:hint="eastAsia"/>
        </w:rPr>
      </w:pPr>
      <w:r>
        <w:rPr>
          <w:rFonts w:hint="eastAsia"/>
          <w:lang w:val="en-US" w:eastAsia="zh-CN"/>
        </w:rPr>
        <w:t>四</w:t>
      </w:r>
      <w:r>
        <w:t>、项目执行</w:t>
      </w:r>
    </w:p>
    <w:p>
      <w:pPr>
        <w:jc w:val="left"/>
        <w:rPr>
          <w:rFonts w:hint="eastAsia"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图</w:t>
      </w:r>
      <w:r>
        <w:rPr>
          <w:rFonts w:hint="eastAsia" w:ascii="仿宋" w:hAnsi="仿宋" w:eastAsia="仿宋"/>
          <w:b/>
          <w:sz w:val="28"/>
          <w:lang w:val="en-US" w:eastAsia="zh-CN"/>
        </w:rPr>
        <w:t>4</w:t>
      </w:r>
      <w:r>
        <w:rPr>
          <w:rFonts w:hint="eastAsia" w:ascii="仿宋" w:hAnsi="仿宋" w:eastAsia="仿宋"/>
          <w:b/>
          <w:sz w:val="28"/>
        </w:rPr>
        <w:t>.</w:t>
      </w:r>
      <w:r>
        <w:rPr>
          <w:rFonts w:ascii="仿宋" w:hAnsi="仿宋" w:eastAsia="仿宋"/>
          <w:b/>
          <w:sz w:val="28"/>
        </w:rPr>
        <w:t xml:space="preserve">1    </w:t>
      </w:r>
      <w:r>
        <w:rPr>
          <w:rFonts w:hint="eastAsia" w:ascii="仿宋" w:hAnsi="仿宋" w:eastAsia="仿宋"/>
          <w:sz w:val="28"/>
          <w:szCs w:val="28"/>
        </w:rPr>
        <w:t>项目执行</w:t>
      </w:r>
      <w:r>
        <w:rPr>
          <w:rFonts w:ascii="仿宋" w:hAnsi="仿宋" w:eastAsia="仿宋"/>
          <w:sz w:val="28"/>
          <w:szCs w:val="28"/>
        </w:rPr>
        <w:t>界面</w:t>
      </w:r>
    </w:p>
    <w:p>
      <w:pPr>
        <w:jc w:val="center"/>
        <w:rPr>
          <w:rFonts w:ascii="新宋体" w:hAnsi="新宋体" w:eastAsia="新宋体"/>
        </w:rPr>
      </w:pPr>
      <w:r>
        <w:tab/>
      </w:r>
      <w:r>
        <w:drawing>
          <wp:inline distT="0" distB="0" distL="0" distR="0">
            <wp:extent cx="9201785" cy="4570095"/>
            <wp:effectExtent l="0" t="0" r="0" b="190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03582" cy="45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项目执行</w:t>
      </w:r>
      <w:r>
        <w:rPr>
          <w:rFonts w:hint="eastAsia" w:ascii="仿宋" w:hAnsi="仿宋" w:eastAsia="仿宋"/>
          <w:sz w:val="28"/>
          <w:szCs w:val="28"/>
        </w:rPr>
        <w:t>是指</w:t>
      </w:r>
      <w:r>
        <w:rPr>
          <w:rFonts w:ascii="仿宋" w:hAnsi="仿宋" w:eastAsia="仿宋"/>
          <w:sz w:val="28"/>
          <w:szCs w:val="28"/>
        </w:rPr>
        <w:t>已经进行到招标采购阶段</w:t>
      </w:r>
      <w:r>
        <w:rPr>
          <w:rFonts w:hint="eastAsia" w:ascii="仿宋" w:hAnsi="仿宋" w:eastAsia="仿宋"/>
          <w:sz w:val="28"/>
          <w:szCs w:val="28"/>
        </w:rPr>
        <w:t>项目</w:t>
      </w:r>
      <w:r>
        <w:rPr>
          <w:rFonts w:ascii="仿宋" w:hAnsi="仿宋" w:eastAsia="仿宋"/>
          <w:sz w:val="28"/>
          <w:szCs w:val="28"/>
        </w:rPr>
        <w:t>的列表，项目执行流程是指项目所在执行阶段，</w:t>
      </w:r>
      <w:r>
        <w:rPr>
          <w:rFonts w:hint="eastAsia" w:ascii="仿宋" w:hAnsi="仿宋" w:eastAsia="仿宋"/>
          <w:sz w:val="28"/>
          <w:szCs w:val="28"/>
        </w:rPr>
        <w:t>点击</w:t>
      </w:r>
      <w:r>
        <w:rPr>
          <w:rFonts w:ascii="仿宋" w:hAnsi="仿宋" w:eastAsia="仿宋"/>
          <w:sz w:val="28"/>
          <w:szCs w:val="28"/>
        </w:rPr>
        <w:t>后</w:t>
      </w:r>
      <w:r>
        <w:rPr>
          <w:rFonts w:hint="eastAsia" w:ascii="仿宋" w:hAnsi="仿宋" w:eastAsia="仿宋"/>
          <w:sz w:val="28"/>
          <w:szCs w:val="28"/>
        </w:rPr>
        <w:t>可</w:t>
      </w:r>
      <w:r>
        <w:rPr>
          <w:rFonts w:ascii="仿宋" w:hAnsi="仿宋" w:eastAsia="仿宋"/>
          <w:sz w:val="28"/>
          <w:szCs w:val="28"/>
        </w:rPr>
        <w:t>直接进入</w:t>
      </w:r>
      <w:r>
        <w:rPr>
          <w:rFonts w:hint="eastAsia" w:ascii="仿宋" w:hAnsi="仿宋" w:eastAsia="仿宋"/>
          <w:sz w:val="28"/>
          <w:szCs w:val="28"/>
        </w:rPr>
        <w:t>相应</w:t>
      </w:r>
      <w:r>
        <w:rPr>
          <w:rFonts w:ascii="仿宋" w:hAnsi="仿宋" w:eastAsia="仿宋"/>
          <w:sz w:val="28"/>
          <w:szCs w:val="28"/>
        </w:rPr>
        <w:t>的流程</w:t>
      </w:r>
      <w:r>
        <w:rPr>
          <w:rFonts w:hint="eastAsia" w:ascii="仿宋" w:hAnsi="仿宋" w:eastAsia="仿宋"/>
          <w:sz w:val="28"/>
          <w:szCs w:val="28"/>
        </w:rPr>
        <w:t>查看</w:t>
      </w:r>
      <w:r>
        <w:rPr>
          <w:rFonts w:ascii="仿宋" w:hAnsi="仿宋" w:eastAsia="仿宋"/>
          <w:sz w:val="28"/>
          <w:szCs w:val="28"/>
        </w:rPr>
        <w:t>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>
      <w:pPr>
        <w:jc w:val="left"/>
        <w:rPr>
          <w:rFonts w:hint="eastAsia" w:ascii="仿宋" w:hAnsi="仿宋" w:eastAsia="仿宋"/>
          <w:sz w:val="28"/>
          <w:szCs w:val="28"/>
        </w:rPr>
      </w:pPr>
    </w:p>
    <w:p>
      <w:pPr>
        <w:jc w:val="left"/>
        <w:rPr>
          <w:rFonts w:hint="eastAsia"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图</w:t>
      </w:r>
      <w:r>
        <w:rPr>
          <w:rFonts w:ascii="仿宋" w:hAnsi="仿宋" w:eastAsia="仿宋"/>
          <w:b/>
          <w:sz w:val="28"/>
        </w:rPr>
        <w:t>3</w:t>
      </w:r>
      <w:r>
        <w:rPr>
          <w:rFonts w:hint="eastAsia" w:ascii="仿宋" w:hAnsi="仿宋" w:eastAsia="仿宋"/>
          <w:b/>
          <w:sz w:val="28"/>
        </w:rPr>
        <w:t>.</w:t>
      </w:r>
      <w:r>
        <w:rPr>
          <w:rFonts w:hint="eastAsia" w:ascii="仿宋" w:hAnsi="仿宋" w:eastAsia="仿宋"/>
          <w:b/>
          <w:sz w:val="28"/>
          <w:lang w:val="en-US" w:eastAsia="zh-CN"/>
        </w:rPr>
        <w:t>2</w:t>
      </w:r>
      <w:r>
        <w:rPr>
          <w:rFonts w:ascii="仿宋" w:hAnsi="仿宋" w:eastAsia="仿宋"/>
          <w:b/>
          <w:sz w:val="28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项目执行</w:t>
      </w:r>
      <w:r>
        <w:rPr>
          <w:rFonts w:hint="eastAsia" w:ascii="仿宋" w:hAnsi="仿宋" w:eastAsia="仿宋"/>
          <w:sz w:val="28"/>
          <w:szCs w:val="28"/>
          <w:lang w:eastAsia="zh-CN"/>
        </w:rPr>
        <w:t>—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详情</w:t>
      </w:r>
      <w:r>
        <w:rPr>
          <w:rFonts w:ascii="仿宋" w:hAnsi="仿宋" w:eastAsia="仿宋"/>
          <w:sz w:val="28"/>
          <w:szCs w:val="28"/>
        </w:rPr>
        <w:t>界面</w:t>
      </w:r>
    </w:p>
    <w:p>
      <w:pPr>
        <w:jc w:val="center"/>
      </w:pPr>
      <w:r>
        <w:drawing>
          <wp:inline distT="0" distB="0" distL="114300" distR="114300">
            <wp:extent cx="9251950" cy="4114165"/>
            <wp:effectExtent l="0" t="0" r="6350" b="63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11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>
      <w:pPr>
        <w:jc w:val="left"/>
        <w:rPr>
          <w:rFonts w:hint="eastAsia" w:ascii="仿宋" w:hAnsi="仿宋" w:eastAsia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28"/>
          <w:szCs w:val="28"/>
          <w:lang w:val="en-US" w:eastAsia="zh-CN"/>
        </w:rPr>
        <w:t>按照不同的项目类型（政府采购、非政府采购）、目录类型（集中采购、非集中采购）对应的</w:t>
      </w:r>
      <w:r>
        <w:rPr>
          <w:rFonts w:hint="eastAsia" w:ascii="仿宋" w:hAnsi="仿宋" w:eastAsia="仿宋"/>
          <w:b w:val="0"/>
          <w:bCs/>
          <w:sz w:val="28"/>
          <w:szCs w:val="28"/>
        </w:rPr>
        <w:t>项目执行</w:t>
      </w:r>
      <w:r>
        <w:rPr>
          <w:rFonts w:hint="eastAsia" w:ascii="仿宋" w:hAnsi="仿宋" w:eastAsia="仿宋"/>
          <w:b w:val="0"/>
          <w:bCs/>
          <w:sz w:val="28"/>
          <w:szCs w:val="28"/>
          <w:lang w:val="en-US" w:eastAsia="zh-CN"/>
        </w:rPr>
        <w:t>流程不一致。项目申报部门需要完成技术确认（非集采）、拟定合同。</w:t>
      </w:r>
    </w:p>
    <w:p>
      <w:pPr>
        <w:rPr>
          <w:rFonts w:hint="eastAsia" w:ascii="仿宋" w:hAnsi="仿宋" w:eastAsia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28"/>
          <w:szCs w:val="28"/>
          <w:lang w:val="en-US" w:eastAsia="zh-CN"/>
        </w:rPr>
        <w:br w:type="page"/>
      </w:r>
    </w:p>
    <w:p>
      <w:pPr>
        <w:rPr>
          <w:rFonts w:hint="default" w:ascii="新宋体" w:hAnsi="新宋体" w:eastAsia="仿宋"/>
          <w:lang w:val="en-US" w:eastAsia="zh-CN"/>
        </w:rPr>
      </w:pPr>
      <w:r>
        <w:rPr>
          <w:rFonts w:hint="eastAsia" w:ascii="仿宋" w:hAnsi="仿宋" w:eastAsia="仿宋"/>
          <w:b/>
          <w:sz w:val="28"/>
        </w:rPr>
        <w:t>图</w:t>
      </w:r>
      <w:r>
        <w:rPr>
          <w:rFonts w:ascii="仿宋" w:hAnsi="仿宋" w:eastAsia="仿宋"/>
          <w:b/>
          <w:sz w:val="28"/>
        </w:rPr>
        <w:t>3</w:t>
      </w:r>
      <w:r>
        <w:rPr>
          <w:rFonts w:hint="eastAsia" w:ascii="仿宋" w:hAnsi="仿宋" w:eastAsia="仿宋"/>
          <w:b/>
          <w:sz w:val="28"/>
        </w:rPr>
        <w:t>.</w:t>
      </w:r>
      <w:r>
        <w:rPr>
          <w:rFonts w:hint="eastAsia" w:ascii="仿宋" w:hAnsi="仿宋" w:eastAsia="仿宋"/>
          <w:b/>
          <w:sz w:val="28"/>
          <w:lang w:val="en-US" w:eastAsia="zh-CN"/>
        </w:rPr>
        <w:t>3</w:t>
      </w:r>
      <w:r>
        <w:rPr>
          <w:rFonts w:ascii="仿宋" w:hAnsi="仿宋" w:eastAsia="仿宋"/>
          <w:b/>
          <w:sz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项目执行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操作释义</w:t>
      </w:r>
    </w:p>
    <w:p>
      <w:pPr>
        <w:pStyle w:val="10"/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各执行方式操作流程说明（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黑色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部分为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申报部门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需要完善数据的流程）：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自主采购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的项目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开始实施 &gt; 执行方式 &gt;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结果信息 &gt; 合同签订 &gt; 履约验收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10"/>
        <w:ind w:left="780" w:firstLine="0" w:firstLineChars="0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自主招标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的项目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开始实施 &gt; 执行方式 &gt;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技术确认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&gt; 采购邀请 &gt; 开标评标 &gt; 专家抽取 &gt; 结果信息 &gt;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拟定合同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&gt; 合同签订 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&gt; 合同公示 &gt; 履约验收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支线流程：更正情况、质疑投诉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10"/>
        <w:ind w:left="780" w:firstLine="0" w:firstLineChars="0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委托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政府采购中心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代理的项目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开始实施 &gt; 执行方式 &gt;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技术确认(非集采品目合并项目)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&gt; 项目论证 &gt; 采购邀请 &gt; 结果信息 &gt;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拟定合同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&gt; 合同签订 &gt; 合同公示 &gt; 履约验收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支线流程：更正情况、质疑投诉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10"/>
        <w:ind w:left="780" w:firstLine="0" w:firstLineChars="0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委托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社会代理机构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代理的项目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开始实施 &gt; 执行方式 &gt;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技术确认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&gt; 项目论证 &gt; 采购确认 &gt; 采购邀请 &gt; 开标评标 &gt; 结果信息 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&gt;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拟定合同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&gt; 合同签订 &gt; 合同公示 &gt; 履约验收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支线流程：质疑投诉（社会代理机构与采购中心部门均可操作）</w:t>
      </w:r>
    </w:p>
    <w:p>
      <w:pPr>
        <w:ind w:firstLine="980" w:firstLineChars="350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10"/>
        <w:ind w:left="780" w:firstLine="0" w:firstLineChars="0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网上竞价/商城直购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的项目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开始实施 &gt; 执行方式 &gt; 采购邀请 &gt; 结果信息 &gt; 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拟定合同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&gt; 合同签订 &gt; 合同公示 &gt; 履约验收</w:t>
      </w:r>
    </w:p>
    <w:p>
      <w:pPr>
        <w:pStyle w:val="10"/>
        <w:ind w:left="780" w:firstLine="0" w:firstLineChars="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支线流程：更正情况、质疑投诉</w:t>
      </w:r>
    </w:p>
    <w:p>
      <w:pPr>
        <w:ind w:firstLine="840" w:firstLineChars="300"/>
        <w:jc w:val="left"/>
        <w:rPr>
          <w:rFonts w:hint="eastAsia" w:ascii="仿宋" w:hAnsi="仿宋" w:eastAsia="仿宋"/>
          <w:b w:val="0"/>
          <w:bCs/>
          <w:sz w:val="28"/>
          <w:szCs w:val="28"/>
          <w:lang w:val="en-US" w:eastAsia="zh-CN"/>
        </w:rPr>
      </w:pPr>
    </w:p>
    <w:p>
      <w:pPr>
        <w:ind w:firstLine="840" w:firstLineChars="300"/>
        <w:jc w:val="left"/>
        <w:rPr>
          <w:rFonts w:hint="default" w:ascii="仿宋" w:hAnsi="仿宋" w:eastAsia="仿宋"/>
          <w:b w:val="0"/>
          <w:bCs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新宋体" w:hAnsi="新宋体" w:eastAsia="新宋体"/>
        </w:rPr>
      </w:pPr>
    </w:p>
    <w:p>
      <w:pPr>
        <w:widowControl/>
        <w:jc w:val="left"/>
        <w:rPr>
          <w:rFonts w:ascii="新宋体" w:hAnsi="新宋体" w:eastAsia="新宋体"/>
        </w:rPr>
      </w:pPr>
    </w:p>
    <w:p>
      <w:pPr>
        <w:widowControl/>
        <w:jc w:val="left"/>
        <w:rPr>
          <w:rFonts w:ascii="新宋体" w:hAnsi="新宋体" w:eastAsia="新宋体"/>
        </w:rPr>
      </w:pPr>
    </w:p>
    <w:sectPr>
      <w:footerReference r:id="rId3" w:type="default"/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HfkHQ0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BDD1D"/>
    <w:multiLevelType w:val="singleLevel"/>
    <w:tmpl w:val="4C6BDD1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9C"/>
    <w:rsid w:val="00031976"/>
    <w:rsid w:val="000338D5"/>
    <w:rsid w:val="00042CFC"/>
    <w:rsid w:val="000466E0"/>
    <w:rsid w:val="00051CB1"/>
    <w:rsid w:val="00080B01"/>
    <w:rsid w:val="000A3FBA"/>
    <w:rsid w:val="000A43CB"/>
    <w:rsid w:val="000C48B0"/>
    <w:rsid w:val="000C6B60"/>
    <w:rsid w:val="000D3ADB"/>
    <w:rsid w:val="000D3DE3"/>
    <w:rsid w:val="000D6737"/>
    <w:rsid w:val="000F61F8"/>
    <w:rsid w:val="0010315E"/>
    <w:rsid w:val="001113DE"/>
    <w:rsid w:val="00113D96"/>
    <w:rsid w:val="00117623"/>
    <w:rsid w:val="0012104A"/>
    <w:rsid w:val="00121D8F"/>
    <w:rsid w:val="00145A1F"/>
    <w:rsid w:val="00155926"/>
    <w:rsid w:val="00162624"/>
    <w:rsid w:val="001653A6"/>
    <w:rsid w:val="00182B0F"/>
    <w:rsid w:val="00193DBA"/>
    <w:rsid w:val="001B539B"/>
    <w:rsid w:val="001B7B55"/>
    <w:rsid w:val="001C5FA7"/>
    <w:rsid w:val="001D4942"/>
    <w:rsid w:val="001E0779"/>
    <w:rsid w:val="001E1EA1"/>
    <w:rsid w:val="001F3AAC"/>
    <w:rsid w:val="001F4FBC"/>
    <w:rsid w:val="00212820"/>
    <w:rsid w:val="00236797"/>
    <w:rsid w:val="00242DC4"/>
    <w:rsid w:val="002610BC"/>
    <w:rsid w:val="002628E0"/>
    <w:rsid w:val="00290F84"/>
    <w:rsid w:val="002C26AE"/>
    <w:rsid w:val="002C69EC"/>
    <w:rsid w:val="002D6542"/>
    <w:rsid w:val="002F2CC4"/>
    <w:rsid w:val="002F2FB7"/>
    <w:rsid w:val="002F4A0F"/>
    <w:rsid w:val="00305B94"/>
    <w:rsid w:val="003076B5"/>
    <w:rsid w:val="003110FE"/>
    <w:rsid w:val="00324851"/>
    <w:rsid w:val="003256BD"/>
    <w:rsid w:val="0033297A"/>
    <w:rsid w:val="0033314B"/>
    <w:rsid w:val="003573AF"/>
    <w:rsid w:val="003627C0"/>
    <w:rsid w:val="003924C0"/>
    <w:rsid w:val="003A1093"/>
    <w:rsid w:val="003A4D2B"/>
    <w:rsid w:val="003B228F"/>
    <w:rsid w:val="003B33DE"/>
    <w:rsid w:val="003B7816"/>
    <w:rsid w:val="003F2BDB"/>
    <w:rsid w:val="0041098E"/>
    <w:rsid w:val="0041371F"/>
    <w:rsid w:val="00446475"/>
    <w:rsid w:val="0045000E"/>
    <w:rsid w:val="004538AF"/>
    <w:rsid w:val="00460BD7"/>
    <w:rsid w:val="004A41DF"/>
    <w:rsid w:val="004C0C66"/>
    <w:rsid w:val="004E613F"/>
    <w:rsid w:val="005200F7"/>
    <w:rsid w:val="0052423E"/>
    <w:rsid w:val="00533588"/>
    <w:rsid w:val="00534BA8"/>
    <w:rsid w:val="00543F89"/>
    <w:rsid w:val="00546738"/>
    <w:rsid w:val="00554EF2"/>
    <w:rsid w:val="005827B9"/>
    <w:rsid w:val="005C3895"/>
    <w:rsid w:val="005C6DB5"/>
    <w:rsid w:val="005D7FE5"/>
    <w:rsid w:val="005F2486"/>
    <w:rsid w:val="005F31A8"/>
    <w:rsid w:val="006007C5"/>
    <w:rsid w:val="00601AE1"/>
    <w:rsid w:val="006030CA"/>
    <w:rsid w:val="00604755"/>
    <w:rsid w:val="00607731"/>
    <w:rsid w:val="00610AEC"/>
    <w:rsid w:val="00612CC1"/>
    <w:rsid w:val="006132A7"/>
    <w:rsid w:val="00614245"/>
    <w:rsid w:val="00614E0F"/>
    <w:rsid w:val="0063300C"/>
    <w:rsid w:val="006474B5"/>
    <w:rsid w:val="0065447A"/>
    <w:rsid w:val="006665FF"/>
    <w:rsid w:val="00674611"/>
    <w:rsid w:val="0067779A"/>
    <w:rsid w:val="00696A07"/>
    <w:rsid w:val="006B4A6E"/>
    <w:rsid w:val="006B57C6"/>
    <w:rsid w:val="006C5549"/>
    <w:rsid w:val="006D7A32"/>
    <w:rsid w:val="006D7DE7"/>
    <w:rsid w:val="006E43BE"/>
    <w:rsid w:val="006F4A79"/>
    <w:rsid w:val="00701F7F"/>
    <w:rsid w:val="007104F3"/>
    <w:rsid w:val="00724A8A"/>
    <w:rsid w:val="0073511E"/>
    <w:rsid w:val="00747E60"/>
    <w:rsid w:val="007525D5"/>
    <w:rsid w:val="00770389"/>
    <w:rsid w:val="007774D2"/>
    <w:rsid w:val="0078518F"/>
    <w:rsid w:val="007C1E6F"/>
    <w:rsid w:val="007C4E3D"/>
    <w:rsid w:val="007E42D6"/>
    <w:rsid w:val="007E4E4E"/>
    <w:rsid w:val="007E6875"/>
    <w:rsid w:val="007E78A1"/>
    <w:rsid w:val="007F4700"/>
    <w:rsid w:val="007F53EF"/>
    <w:rsid w:val="00812466"/>
    <w:rsid w:val="00812518"/>
    <w:rsid w:val="008324A8"/>
    <w:rsid w:val="00836EF2"/>
    <w:rsid w:val="008641E7"/>
    <w:rsid w:val="00865AC5"/>
    <w:rsid w:val="00865CEF"/>
    <w:rsid w:val="008743AF"/>
    <w:rsid w:val="00877B8D"/>
    <w:rsid w:val="008852C9"/>
    <w:rsid w:val="0089371D"/>
    <w:rsid w:val="00894772"/>
    <w:rsid w:val="008A3552"/>
    <w:rsid w:val="008B50DE"/>
    <w:rsid w:val="008C362B"/>
    <w:rsid w:val="008D2C29"/>
    <w:rsid w:val="008D69C8"/>
    <w:rsid w:val="008E30ED"/>
    <w:rsid w:val="008F51E4"/>
    <w:rsid w:val="009002DC"/>
    <w:rsid w:val="00921D0D"/>
    <w:rsid w:val="00926BEE"/>
    <w:rsid w:val="0093155D"/>
    <w:rsid w:val="00936C68"/>
    <w:rsid w:val="009440F9"/>
    <w:rsid w:val="0097553E"/>
    <w:rsid w:val="0098343F"/>
    <w:rsid w:val="009A42AF"/>
    <w:rsid w:val="009A5B5F"/>
    <w:rsid w:val="009B478C"/>
    <w:rsid w:val="009C27D9"/>
    <w:rsid w:val="009C7F50"/>
    <w:rsid w:val="009C7F61"/>
    <w:rsid w:val="009E0FD6"/>
    <w:rsid w:val="00A05562"/>
    <w:rsid w:val="00A075CB"/>
    <w:rsid w:val="00A23F00"/>
    <w:rsid w:val="00A25137"/>
    <w:rsid w:val="00A3032B"/>
    <w:rsid w:val="00A37850"/>
    <w:rsid w:val="00A431D4"/>
    <w:rsid w:val="00A45094"/>
    <w:rsid w:val="00A52C10"/>
    <w:rsid w:val="00A55C54"/>
    <w:rsid w:val="00A67F6A"/>
    <w:rsid w:val="00A70CBB"/>
    <w:rsid w:val="00A726B6"/>
    <w:rsid w:val="00A91714"/>
    <w:rsid w:val="00A962F0"/>
    <w:rsid w:val="00AC20C7"/>
    <w:rsid w:val="00AC5DE1"/>
    <w:rsid w:val="00AD1FB5"/>
    <w:rsid w:val="00AD3547"/>
    <w:rsid w:val="00AE4C86"/>
    <w:rsid w:val="00AF21DC"/>
    <w:rsid w:val="00B10749"/>
    <w:rsid w:val="00B14AD6"/>
    <w:rsid w:val="00B16470"/>
    <w:rsid w:val="00B3139C"/>
    <w:rsid w:val="00B35D26"/>
    <w:rsid w:val="00B40C8C"/>
    <w:rsid w:val="00B45E2E"/>
    <w:rsid w:val="00B47A08"/>
    <w:rsid w:val="00B47DB5"/>
    <w:rsid w:val="00B504E1"/>
    <w:rsid w:val="00B604EE"/>
    <w:rsid w:val="00B70082"/>
    <w:rsid w:val="00B70093"/>
    <w:rsid w:val="00B72397"/>
    <w:rsid w:val="00B728FB"/>
    <w:rsid w:val="00B92AAB"/>
    <w:rsid w:val="00B9355F"/>
    <w:rsid w:val="00BA47B0"/>
    <w:rsid w:val="00BA71B3"/>
    <w:rsid w:val="00BC61D4"/>
    <w:rsid w:val="00BC7A0C"/>
    <w:rsid w:val="00BD2B3F"/>
    <w:rsid w:val="00BF1A5A"/>
    <w:rsid w:val="00BF5813"/>
    <w:rsid w:val="00C143B8"/>
    <w:rsid w:val="00C3170C"/>
    <w:rsid w:val="00C31A0B"/>
    <w:rsid w:val="00C5245A"/>
    <w:rsid w:val="00C54D5A"/>
    <w:rsid w:val="00C6464D"/>
    <w:rsid w:val="00C8253B"/>
    <w:rsid w:val="00C83003"/>
    <w:rsid w:val="00C90307"/>
    <w:rsid w:val="00C973E2"/>
    <w:rsid w:val="00C974A6"/>
    <w:rsid w:val="00CB0B3C"/>
    <w:rsid w:val="00CB58B1"/>
    <w:rsid w:val="00CD4CA6"/>
    <w:rsid w:val="00CF50FC"/>
    <w:rsid w:val="00CF5683"/>
    <w:rsid w:val="00CF665E"/>
    <w:rsid w:val="00CF7921"/>
    <w:rsid w:val="00D03B1F"/>
    <w:rsid w:val="00D03F59"/>
    <w:rsid w:val="00D17718"/>
    <w:rsid w:val="00D50EEE"/>
    <w:rsid w:val="00D566E9"/>
    <w:rsid w:val="00D826BA"/>
    <w:rsid w:val="00D94325"/>
    <w:rsid w:val="00D97F81"/>
    <w:rsid w:val="00DA6B63"/>
    <w:rsid w:val="00DB3A5D"/>
    <w:rsid w:val="00DB3EC9"/>
    <w:rsid w:val="00DC793D"/>
    <w:rsid w:val="00DE471E"/>
    <w:rsid w:val="00DF0EC2"/>
    <w:rsid w:val="00E04ACA"/>
    <w:rsid w:val="00E30AFD"/>
    <w:rsid w:val="00E600B4"/>
    <w:rsid w:val="00E6568C"/>
    <w:rsid w:val="00E83A24"/>
    <w:rsid w:val="00EA48B9"/>
    <w:rsid w:val="00EB0C63"/>
    <w:rsid w:val="00EB430A"/>
    <w:rsid w:val="00EB50D8"/>
    <w:rsid w:val="00EC5611"/>
    <w:rsid w:val="00EE0B99"/>
    <w:rsid w:val="00F0207D"/>
    <w:rsid w:val="00F14F87"/>
    <w:rsid w:val="00F16DEF"/>
    <w:rsid w:val="00F31A87"/>
    <w:rsid w:val="00F405CF"/>
    <w:rsid w:val="00F60AE1"/>
    <w:rsid w:val="00F61725"/>
    <w:rsid w:val="00F670F6"/>
    <w:rsid w:val="00F67341"/>
    <w:rsid w:val="00F67E04"/>
    <w:rsid w:val="00F80D2A"/>
    <w:rsid w:val="00F8190B"/>
    <w:rsid w:val="00F8531F"/>
    <w:rsid w:val="00F93AAE"/>
    <w:rsid w:val="00FB58DD"/>
    <w:rsid w:val="00FB6E96"/>
    <w:rsid w:val="00FC1549"/>
    <w:rsid w:val="00FC4424"/>
    <w:rsid w:val="00FC544E"/>
    <w:rsid w:val="00FD37B8"/>
    <w:rsid w:val="00FE35E3"/>
    <w:rsid w:val="057C50AE"/>
    <w:rsid w:val="0B9E5E04"/>
    <w:rsid w:val="0E12150D"/>
    <w:rsid w:val="0E6A0EA3"/>
    <w:rsid w:val="0E772739"/>
    <w:rsid w:val="100522F8"/>
    <w:rsid w:val="10623750"/>
    <w:rsid w:val="1265131D"/>
    <w:rsid w:val="13416D30"/>
    <w:rsid w:val="14471B52"/>
    <w:rsid w:val="152008FB"/>
    <w:rsid w:val="1B3428AD"/>
    <w:rsid w:val="24A411E4"/>
    <w:rsid w:val="2ADF0061"/>
    <w:rsid w:val="3499580D"/>
    <w:rsid w:val="35FB37A7"/>
    <w:rsid w:val="3CBF5B1F"/>
    <w:rsid w:val="40F74C63"/>
    <w:rsid w:val="47DB5CB9"/>
    <w:rsid w:val="4BDA1A3C"/>
    <w:rsid w:val="4D2821E5"/>
    <w:rsid w:val="4E8A6313"/>
    <w:rsid w:val="5A167A07"/>
    <w:rsid w:val="5D8C446E"/>
    <w:rsid w:val="69F01E36"/>
    <w:rsid w:val="72DE0703"/>
    <w:rsid w:val="746274F5"/>
    <w:rsid w:val="75947FEC"/>
    <w:rsid w:val="75CB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2 字符"/>
    <w:basedOn w:val="8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标题 3 字符"/>
    <w:basedOn w:val="8"/>
    <w:link w:val="4"/>
    <w:qFormat/>
    <w:uiPriority w:val="9"/>
    <w:rPr>
      <w:b/>
      <w:bCs/>
      <w:sz w:val="32"/>
      <w:szCs w:val="32"/>
    </w:rPr>
  </w:style>
  <w:style w:type="character" w:customStyle="1" w:styleId="14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diagramColors" Target="diagrams/colors1.xml"/><Relationship Id="rId7" Type="http://schemas.openxmlformats.org/officeDocument/2006/relationships/diagramQuickStyle" Target="diagrams/quickStyle1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19B6C7-CBB6-48D9-ADE7-A6B5ECBC9A35}" type="doc">
      <dgm:prSet loTypeId="urn:microsoft.com/office/officeart/2005/8/layout/radial4" loCatId="relationship" qsTypeId="urn:microsoft.com/office/officeart/2005/8/quickstyle/simple1" qsCatId="simple" csTypeId="urn:microsoft.com/office/officeart/2005/8/colors/colorful4" csCatId="accent1" phldr="0"/>
      <dgm:spPr/>
      <dgm:t>
        <a:bodyPr/>
        <a:p>
          <a:endParaRPr lang="zh-CN" altLang="en-US"/>
        </a:p>
      </dgm:t>
    </dgm:pt>
    <dgm:pt modelId="{E2AAE795-EF57-4E98-8631-0B692121D828}">
      <dgm:prSet phldrT="[文本]" phldr="0" custT="0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申报</a:t>
          </a:r>
          <a:r>
            <a:rPr lang="zh-CN" altLang="en-US"/>
            <a:t>部门</a:t>
          </a:r>
          <a:r>
            <a:rPr lang="zh-CN" altLang="en-US"/>
            <a:t/>
          </a:r>
          <a:endParaRPr lang="zh-CN" altLang="en-US"/>
        </a:p>
      </dgm:t>
    </dgm:pt>
    <dgm:pt modelId="{10E6E96C-1E3F-4C2F-9F10-217862FD780C}" cxnId="{C86E5584-61B8-4817-AF66-EC464528E26C}" type="parTrans">
      <dgm:prSet/>
      <dgm:spPr/>
      <dgm:t>
        <a:bodyPr/>
        <a:p>
          <a:endParaRPr lang="zh-CN" altLang="en-US"/>
        </a:p>
      </dgm:t>
    </dgm:pt>
    <dgm:pt modelId="{23FE1042-D4F0-4571-B6C5-4E01D848301F}" cxnId="{C86E5584-61B8-4817-AF66-EC464528E26C}" type="sibTrans">
      <dgm:prSet/>
      <dgm:spPr/>
      <dgm:t>
        <a:bodyPr/>
        <a:p>
          <a:endParaRPr lang="zh-CN" altLang="en-US"/>
        </a:p>
      </dgm:t>
    </dgm:pt>
    <dgm:pt modelId="{E75986CF-00C4-4F31-94C9-E46ACBDD0483}">
      <dgm:prSet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700"/>
            <a:t>通知</a:t>
          </a:r>
          <a:r>
            <a:rPr lang="zh-CN" sz="1700"/>
            <a:t>消息</a:t>
          </a:r>
          <a:endParaRPr lang="zh-CN" sz="1700"/>
        </a:p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200"/>
            <a:t>查看</a:t>
          </a:r>
          <a:r>
            <a:rPr lang="zh-CN" sz="1200"/>
            <a:t>招标</a:t>
          </a:r>
          <a:r>
            <a:rPr lang="zh-CN" sz="1200"/>
            <a:t>采购</a:t>
          </a:r>
          <a:r>
            <a:rPr lang="zh-CN" sz="1200"/>
            <a:t>管理</a:t>
          </a:r>
          <a:r>
            <a:rPr lang="zh-CN" sz="1200"/>
            <a:t>部门</a:t>
          </a:r>
          <a:r>
            <a:rPr lang="zh-CN" sz="1200"/>
            <a:t>的</a:t>
          </a:r>
          <a:r>
            <a:rPr lang="zh-CN" sz="1200"/>
            <a:t>通知</a:t>
          </a:r>
          <a:r>
            <a:rPr lang="zh-CN" sz="1200"/>
            <a:t>消息</a:t>
          </a:r>
          <a:r>
            <a:rPr lang="zh-CN" altLang="en-US" sz="1200"/>
            <a:t/>
          </a:r>
          <a:endParaRPr lang="zh-CN" altLang="en-US" sz="1200"/>
        </a:p>
      </dgm:t>
    </dgm:pt>
    <dgm:pt modelId="{72F46B23-1825-4765-9316-41D987839926}" cxnId="{E16C2D22-3435-4109-A6C8-54A610F83B1B}" type="parTrans">
      <dgm:prSet/>
      <dgm:spPr/>
    </dgm:pt>
    <dgm:pt modelId="{6C2CDE1C-3682-4D73-AE91-1D44A7D2451F}" cxnId="{E16C2D22-3435-4109-A6C8-54A610F83B1B}" type="sibTrans">
      <dgm:prSet/>
      <dgm:spPr/>
    </dgm:pt>
    <dgm:pt modelId="{4F8D99D1-23EC-47B2-A200-BA3E9AC5E180}">
      <dgm:prSet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700"/>
            <a:t>校内</a:t>
          </a:r>
          <a:r>
            <a:rPr lang="zh-CN" sz="1700"/>
            <a:t>规章</a:t>
          </a:r>
          <a:endParaRPr lang="zh-CN" sz="1700"/>
        </a:p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200"/>
            <a:t>查看</a:t>
          </a:r>
          <a:r>
            <a:rPr lang="zh-CN" sz="1200"/>
            <a:t>校内</a:t>
          </a:r>
          <a:r>
            <a:rPr lang="zh-CN" sz="1200"/>
            <a:t>关于</a:t>
          </a:r>
          <a:r>
            <a:rPr lang="zh-CN" sz="1200"/>
            <a:t>的</a:t>
          </a:r>
          <a:r>
            <a:rPr lang="zh-CN" sz="1200"/>
            <a:t>招标</a:t>
          </a:r>
          <a:r>
            <a:rPr lang="zh-CN" sz="1200"/>
            <a:t>采购</a:t>
          </a:r>
          <a:r>
            <a:rPr lang="zh-CN" sz="1200"/>
            <a:t>的</a:t>
          </a:r>
          <a:r>
            <a:rPr lang="zh-CN" sz="1200"/>
            <a:t>规章</a:t>
          </a:r>
          <a:r>
            <a:rPr lang="zh-CN" sz="1200"/>
            <a:t>制度</a:t>
          </a:r>
          <a:r>
            <a:rPr lang="zh-CN" altLang="en-US" sz="1200"/>
            <a:t/>
          </a:r>
          <a:endParaRPr lang="zh-CN" altLang="en-US" sz="1200"/>
        </a:p>
      </dgm:t>
    </dgm:pt>
    <dgm:pt modelId="{658A6493-0E99-4C93-BC10-C2510A8FFB8B}" cxnId="{81970109-778C-470C-A5B8-0F29A31EF35B}" type="parTrans">
      <dgm:prSet/>
      <dgm:spPr/>
    </dgm:pt>
    <dgm:pt modelId="{E8FC799D-E7D5-4A39-981E-43812F07B4B4}" cxnId="{81970109-778C-470C-A5B8-0F29A31EF35B}" type="sibTrans">
      <dgm:prSet/>
      <dgm:spPr/>
    </dgm:pt>
    <dgm:pt modelId="{6348DD4B-840A-4F89-A904-7FC150CEC0DC}">
      <dgm:prSet phldrT="[文本]"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200"/>
            <a:t>项目</a:t>
          </a:r>
          <a:r>
            <a:rPr lang="zh-CN" altLang="en-US" sz="2200"/>
            <a:t>执行</a:t>
          </a:r>
          <a:endParaRPr lang="zh-CN" altLang="en-US" sz="2200"/>
        </a:p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技术</a:t>
          </a:r>
          <a:r>
            <a:rPr lang="zh-CN" altLang="en-US" sz="1200"/>
            <a:t>确认  合同</a:t>
          </a:r>
          <a:r>
            <a:rPr lang="zh-CN" altLang="en-US" sz="1200"/>
            <a:t>签订</a:t>
          </a:r>
          <a:r>
            <a:rPr lang="zh-CN" altLang="en-US" sz="1200"/>
            <a:t/>
          </a:r>
          <a:endParaRPr lang="zh-CN" altLang="en-US" sz="1200"/>
        </a:p>
      </dgm:t>
    </dgm:pt>
    <dgm:pt modelId="{0E233BD5-9884-4F5D-9E97-1B5F02FFD0C8}" cxnId="{C81E324E-40FA-4F27-9197-B5D950ED1952}" type="parTrans">
      <dgm:prSet/>
      <dgm:spPr/>
      <dgm:t>
        <a:bodyPr/>
        <a:p>
          <a:endParaRPr lang="zh-CN" altLang="en-US"/>
        </a:p>
      </dgm:t>
    </dgm:pt>
    <dgm:pt modelId="{31BC03A2-36B7-4DF3-98A2-0332B0F3298E}" cxnId="{C81E324E-40FA-4F27-9197-B5D950ED1952}" type="sibTrans">
      <dgm:prSet/>
      <dgm:spPr/>
      <dgm:t>
        <a:bodyPr/>
        <a:p>
          <a:endParaRPr lang="zh-CN" altLang="en-US"/>
        </a:p>
      </dgm:t>
    </dgm:pt>
    <dgm:pt modelId="{76A171A4-C76E-42D3-AB19-4CFDD9463D3A}">
      <dgm:prSet phldrT="[文本]"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200"/>
            <a:t>项目</a:t>
          </a:r>
          <a:r>
            <a:rPr lang="zh-CN" altLang="en-US" sz="2200"/>
            <a:t>申报</a:t>
          </a:r>
          <a:endParaRPr lang="zh-CN" altLang="en-US" sz="2200"/>
        </a:p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新建</a:t>
          </a:r>
          <a:r>
            <a:rPr lang="zh-CN" altLang="en-US" sz="1200"/>
            <a:t>申报    </a:t>
          </a:r>
          <a:r>
            <a:rPr lang="zh-CN" altLang="en-US" sz="1200"/>
            <a:t>申报</a:t>
          </a:r>
          <a:r>
            <a:rPr lang="zh-CN" altLang="en-US" sz="1200"/>
            <a:t>列表</a:t>
          </a:r>
          <a:r>
            <a:rPr lang="zh-CN" altLang="en-US" sz="1200"/>
            <a:t/>
          </a:r>
          <a:endParaRPr lang="zh-CN" altLang="en-US" sz="1200"/>
        </a:p>
      </dgm:t>
    </dgm:pt>
    <dgm:pt modelId="{9B36E1CF-4484-43FA-8092-3B390A9EFAE6}" cxnId="{471610C5-7A42-4148-A68D-CA40F43985A5}" type="parTrans">
      <dgm:prSet/>
      <dgm:spPr/>
      <dgm:t>
        <a:bodyPr/>
        <a:p>
          <a:endParaRPr lang="zh-CN" altLang="en-US"/>
        </a:p>
      </dgm:t>
    </dgm:pt>
    <dgm:pt modelId="{795AADD0-BC42-4B97-A6CE-CAEE070B0743}" cxnId="{471610C5-7A42-4148-A68D-CA40F43985A5}" type="sibTrans">
      <dgm:prSet/>
      <dgm:spPr/>
      <dgm:t>
        <a:bodyPr/>
        <a:p>
          <a:endParaRPr lang="zh-CN" altLang="en-US"/>
        </a:p>
      </dgm:t>
    </dgm:pt>
    <dgm:pt modelId="{5B9437E5-5A0E-475F-9971-8D0BA4212AAB}">
      <dgm:prSet phldrT="[文本]" phldr="0" custT="1"/>
      <dgm:spPr/>
      <dgm:t>
        <a:bodyPr vert="horz" wrap="square"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200"/>
            <a:t>首页</a:t>
          </a:r>
          <a:r>
            <a:rPr lang="zh-CN" altLang="en-US" sz="2200"/>
            <a:t/>
          </a:r>
          <a:endParaRPr lang="zh-CN" altLang="en-US" sz="2200"/>
        </a:p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任务</a:t>
          </a:r>
          <a:r>
            <a:rPr lang="zh-CN" altLang="en-US" sz="1200"/>
            <a:t>消息    通知</a:t>
          </a:r>
          <a:r>
            <a:rPr lang="zh-CN" altLang="en-US" sz="1200"/>
            <a:t>消息</a:t>
          </a:r>
          <a:r>
            <a:rPr lang="zh-CN" altLang="en-US" sz="1200"/>
            <a:t/>
          </a:r>
          <a:endParaRPr lang="zh-CN" altLang="en-US" sz="1200"/>
        </a:p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任务</a:t>
          </a:r>
          <a:r>
            <a:rPr lang="zh-CN" altLang="en-US" sz="1200"/>
            <a:t>预警    </a:t>
          </a:r>
          <a:r>
            <a:rPr lang="zh-CN" altLang="en-US" sz="1200"/>
            <a:t>数据</a:t>
          </a:r>
          <a:r>
            <a:rPr lang="zh-CN" altLang="en-US" sz="1200"/>
            <a:t>统计</a:t>
          </a:r>
          <a:r>
            <a:rPr lang="zh-CN" altLang="en-US" sz="1200"/>
            <a:t/>
          </a:r>
          <a:endParaRPr lang="zh-CN" altLang="en-US" sz="1200"/>
        </a:p>
      </dgm:t>
    </dgm:pt>
    <dgm:pt modelId="{65BD2C9D-61F1-4383-A458-CD776C5EEAD2}" cxnId="{25C2E216-E6CB-42BE-BE14-435CAF79E329}" type="parTrans">
      <dgm:prSet/>
      <dgm:spPr/>
      <dgm:t>
        <a:bodyPr/>
        <a:p>
          <a:endParaRPr lang="zh-CN" altLang="en-US"/>
        </a:p>
      </dgm:t>
    </dgm:pt>
    <dgm:pt modelId="{5598244B-3BD9-4E0F-B997-DB6DC60AB491}" cxnId="{25C2E216-E6CB-42BE-BE14-435CAF79E329}" type="sibTrans">
      <dgm:prSet/>
      <dgm:spPr/>
      <dgm:t>
        <a:bodyPr/>
        <a:p>
          <a:endParaRPr lang="zh-CN" altLang="en-US"/>
        </a:p>
      </dgm:t>
    </dgm:pt>
    <dgm:pt modelId="{747F9891-CEE1-43AB-8EE5-7E40216C913A}" type="pres">
      <dgm:prSet presAssocID="{AE19B6C7-CBB6-48D9-ADE7-A6B5ECBC9A35}" presName="cycle" presStyleCnt="0">
        <dgm:presLayoutVars>
          <dgm:chMax val="1"/>
          <dgm:dir val="rev"/>
          <dgm:animLvl val="ctr"/>
          <dgm:resizeHandles val="exact"/>
        </dgm:presLayoutVars>
      </dgm:prSet>
      <dgm:spPr/>
    </dgm:pt>
    <dgm:pt modelId="{54453CD1-FF23-4524-943E-431778D0731A}" type="pres">
      <dgm:prSet presAssocID="{E2AAE795-EF57-4E98-8631-0B692121D828}" presName="centerShape" presStyleLbl="node0" presStyleIdx="0" presStyleCnt="1"/>
      <dgm:spPr/>
    </dgm:pt>
    <dgm:pt modelId="{D87523C0-474C-4EE3-A70C-FD89405641B9}" type="pres">
      <dgm:prSet presAssocID="{72F46B23-1825-4765-9316-41D987839926}" presName="parTrans" presStyleLbl="bgSibTrans2D1" presStyleIdx="0" presStyleCnt="5"/>
      <dgm:spPr/>
    </dgm:pt>
    <dgm:pt modelId="{73343A77-984C-4068-93EE-74735C5C4BF4}" type="pres">
      <dgm:prSet presAssocID="{E75986CF-00C4-4F31-94C9-E46ACBDD0483}" presName="node" presStyleLbl="node1" presStyleIdx="0" presStyleCnt="5">
        <dgm:presLayoutVars>
          <dgm:bulletEnabled val="1"/>
        </dgm:presLayoutVars>
      </dgm:prSet>
      <dgm:spPr/>
    </dgm:pt>
    <dgm:pt modelId="{C04097DD-DED0-459A-A03B-33FD00727EE8}" type="pres">
      <dgm:prSet presAssocID="{658A6493-0E99-4C93-BC10-C2510A8FFB8B}" presName="parTrans" presStyleLbl="bgSibTrans2D1" presStyleIdx="1" presStyleCnt="5"/>
      <dgm:spPr/>
    </dgm:pt>
    <dgm:pt modelId="{7536F33B-BE30-45BB-BA8B-122ECA22F909}" type="pres">
      <dgm:prSet presAssocID="{4F8D99D1-23EC-47B2-A200-BA3E9AC5E180}" presName="node" presStyleLbl="node1" presStyleIdx="1" presStyleCnt="5">
        <dgm:presLayoutVars>
          <dgm:bulletEnabled val="1"/>
        </dgm:presLayoutVars>
      </dgm:prSet>
      <dgm:spPr/>
    </dgm:pt>
    <dgm:pt modelId="{9C58A270-6BFB-4A80-BD75-EC7DEC81C33A}" type="pres">
      <dgm:prSet presAssocID="{0E233BD5-9884-4F5D-9E97-1B5F02FFD0C8}" presName="parTrans" presStyleLbl="bgSibTrans2D1" presStyleIdx="2" presStyleCnt="5"/>
      <dgm:spPr/>
    </dgm:pt>
    <dgm:pt modelId="{E98795DF-0FF8-4985-995B-A03C42B6D83C}" type="pres">
      <dgm:prSet presAssocID="{6348DD4B-840A-4F89-A904-7FC150CEC0DC}" presName="node" presStyleLbl="node1" presStyleIdx="2" presStyleCnt="5">
        <dgm:presLayoutVars>
          <dgm:bulletEnabled val="1"/>
        </dgm:presLayoutVars>
      </dgm:prSet>
      <dgm:spPr/>
    </dgm:pt>
    <dgm:pt modelId="{C3FC8966-57FE-4C8D-8903-BE205CE2B0C7}" type="pres">
      <dgm:prSet presAssocID="{9B36E1CF-4484-43FA-8092-3B390A9EFAE6}" presName="parTrans" presStyleLbl="bgSibTrans2D1" presStyleIdx="3" presStyleCnt="5"/>
      <dgm:spPr/>
    </dgm:pt>
    <dgm:pt modelId="{8E6AB0A7-29E6-43B7-8986-94ED54DD84F2}" type="pres">
      <dgm:prSet presAssocID="{76A171A4-C76E-42D3-AB19-4CFDD9463D3A}" presName="node" presStyleLbl="node1" presStyleIdx="3" presStyleCnt="5">
        <dgm:presLayoutVars>
          <dgm:bulletEnabled val="1"/>
        </dgm:presLayoutVars>
      </dgm:prSet>
      <dgm:spPr/>
    </dgm:pt>
    <dgm:pt modelId="{BFA06A25-8FBD-462A-89DD-319C63D87AB3}" type="pres">
      <dgm:prSet presAssocID="{65BD2C9D-61F1-4383-A458-CD776C5EEAD2}" presName="parTrans" presStyleLbl="bgSibTrans2D1" presStyleIdx="4" presStyleCnt="5"/>
      <dgm:spPr/>
    </dgm:pt>
    <dgm:pt modelId="{BED05D0C-89EC-4FB5-B846-1333FE6AC185}" type="pres">
      <dgm:prSet presAssocID="{5B9437E5-5A0E-475F-9971-8D0BA4212AAB}" presName="node" presStyleLbl="node1" presStyleIdx="4" presStyleCnt="5">
        <dgm:presLayoutVars>
          <dgm:bulletEnabled val="1"/>
        </dgm:presLayoutVars>
      </dgm:prSet>
      <dgm:spPr/>
    </dgm:pt>
  </dgm:ptLst>
  <dgm:cxnLst>
    <dgm:cxn modelId="{C86E5584-61B8-4817-AF66-EC464528E26C}" srcId="{AE19B6C7-CBB6-48D9-ADE7-A6B5ECBC9A35}" destId="{E2AAE795-EF57-4E98-8631-0B692121D828}" srcOrd="0" destOrd="0" parTransId="{10E6E96C-1E3F-4C2F-9F10-217862FD780C}" sibTransId="{23FE1042-D4F0-4571-B6C5-4E01D848301F}"/>
    <dgm:cxn modelId="{E16C2D22-3435-4109-A6C8-54A610F83B1B}" srcId="{E2AAE795-EF57-4E98-8631-0B692121D828}" destId="{E75986CF-00C4-4F31-94C9-E46ACBDD0483}" srcOrd="0" destOrd="0" parTransId="{72F46B23-1825-4765-9316-41D987839926}" sibTransId="{6C2CDE1C-3682-4D73-AE91-1D44A7D2451F}"/>
    <dgm:cxn modelId="{81970109-778C-470C-A5B8-0F29A31EF35B}" srcId="{E2AAE795-EF57-4E98-8631-0B692121D828}" destId="{4F8D99D1-23EC-47B2-A200-BA3E9AC5E180}" srcOrd="1" destOrd="0" parTransId="{658A6493-0E99-4C93-BC10-C2510A8FFB8B}" sibTransId="{E8FC799D-E7D5-4A39-981E-43812F07B4B4}"/>
    <dgm:cxn modelId="{C81E324E-40FA-4F27-9197-B5D950ED1952}" srcId="{E2AAE795-EF57-4E98-8631-0B692121D828}" destId="{6348DD4B-840A-4F89-A904-7FC150CEC0DC}" srcOrd="2" destOrd="0" parTransId="{0E233BD5-9884-4F5D-9E97-1B5F02FFD0C8}" sibTransId="{31BC03A2-36B7-4DF3-98A2-0332B0F3298E}"/>
    <dgm:cxn modelId="{471610C5-7A42-4148-A68D-CA40F43985A5}" srcId="{E2AAE795-EF57-4E98-8631-0B692121D828}" destId="{76A171A4-C76E-42D3-AB19-4CFDD9463D3A}" srcOrd="3" destOrd="0" parTransId="{9B36E1CF-4484-43FA-8092-3B390A9EFAE6}" sibTransId="{795AADD0-BC42-4B97-A6CE-CAEE070B0743}"/>
    <dgm:cxn modelId="{25C2E216-E6CB-42BE-BE14-435CAF79E329}" srcId="{E2AAE795-EF57-4E98-8631-0B692121D828}" destId="{5B9437E5-5A0E-475F-9971-8D0BA4212AAB}" srcOrd="4" destOrd="0" parTransId="{65BD2C9D-61F1-4383-A458-CD776C5EEAD2}" sibTransId="{5598244B-3BD9-4E0F-B997-DB6DC60AB491}"/>
    <dgm:cxn modelId="{DDC5BA7F-6313-4B83-BC7E-083D1261551D}" type="presOf" srcId="{AE19B6C7-CBB6-48D9-ADE7-A6B5ECBC9A35}" destId="{747F9891-CEE1-43AB-8EE5-7E40216C913A}" srcOrd="0" destOrd="0" presId="urn:microsoft.com/office/officeart/2005/8/layout/radial4"/>
    <dgm:cxn modelId="{1ACB5ED0-8D9A-40CB-8CB0-DEC61BA13C88}" type="presParOf" srcId="{747F9891-CEE1-43AB-8EE5-7E40216C913A}" destId="{54453CD1-FF23-4524-943E-431778D0731A}" srcOrd="0" destOrd="0" presId="urn:microsoft.com/office/officeart/2005/8/layout/radial4"/>
    <dgm:cxn modelId="{94F2BA20-0F2D-4869-A191-556A78EADB17}" type="presOf" srcId="{E2AAE795-EF57-4E98-8631-0B692121D828}" destId="{54453CD1-FF23-4524-943E-431778D0731A}" srcOrd="0" destOrd="0" presId="urn:microsoft.com/office/officeart/2005/8/layout/radial4"/>
    <dgm:cxn modelId="{F9D29FAC-ABEA-4BCC-B4B3-3AC91BC14DBF}" type="presParOf" srcId="{747F9891-CEE1-43AB-8EE5-7E40216C913A}" destId="{D87523C0-474C-4EE3-A70C-FD89405641B9}" srcOrd="1" destOrd="0" presId="urn:microsoft.com/office/officeart/2005/8/layout/radial4"/>
    <dgm:cxn modelId="{B033AE1E-9B99-48CD-93C1-D3059511A885}" type="presOf" srcId="{72F46B23-1825-4765-9316-41D987839926}" destId="{D87523C0-474C-4EE3-A70C-FD89405641B9}" srcOrd="0" destOrd="0" presId="urn:microsoft.com/office/officeart/2005/8/layout/radial4"/>
    <dgm:cxn modelId="{0E92E002-2A91-4F33-BFD7-D35FB41420FF}" type="presParOf" srcId="{747F9891-CEE1-43AB-8EE5-7E40216C913A}" destId="{73343A77-984C-4068-93EE-74735C5C4BF4}" srcOrd="2" destOrd="0" presId="urn:microsoft.com/office/officeart/2005/8/layout/radial4"/>
    <dgm:cxn modelId="{82CC6DCB-4C57-4A04-A3F0-C377232C80F7}" type="presOf" srcId="{E75986CF-00C4-4F31-94C9-E46ACBDD0483}" destId="{73343A77-984C-4068-93EE-74735C5C4BF4}" srcOrd="0" destOrd="0" presId="urn:microsoft.com/office/officeart/2005/8/layout/radial4"/>
    <dgm:cxn modelId="{06D0832E-8F50-4A09-9CE8-B6FB6A592DF5}" type="presParOf" srcId="{747F9891-CEE1-43AB-8EE5-7E40216C913A}" destId="{C04097DD-DED0-459A-A03B-33FD00727EE8}" srcOrd="3" destOrd="0" presId="urn:microsoft.com/office/officeart/2005/8/layout/radial4"/>
    <dgm:cxn modelId="{872D9069-4282-4C85-A28E-5A8A044EC700}" type="presOf" srcId="{658A6493-0E99-4C93-BC10-C2510A8FFB8B}" destId="{C04097DD-DED0-459A-A03B-33FD00727EE8}" srcOrd="0" destOrd="0" presId="urn:microsoft.com/office/officeart/2005/8/layout/radial4"/>
    <dgm:cxn modelId="{AA95CE3E-7060-40C3-91D4-D06E16CD50A0}" type="presParOf" srcId="{747F9891-CEE1-43AB-8EE5-7E40216C913A}" destId="{7536F33B-BE30-45BB-BA8B-122ECA22F909}" srcOrd="4" destOrd="0" presId="urn:microsoft.com/office/officeart/2005/8/layout/radial4"/>
    <dgm:cxn modelId="{1FDA5E7D-02B1-48E1-A5E6-E746D5385D94}" type="presOf" srcId="{4F8D99D1-23EC-47B2-A200-BA3E9AC5E180}" destId="{7536F33B-BE30-45BB-BA8B-122ECA22F909}" srcOrd="0" destOrd="0" presId="urn:microsoft.com/office/officeart/2005/8/layout/radial4"/>
    <dgm:cxn modelId="{C4B94A5A-15F0-47EE-B333-23983184DCC6}" type="presParOf" srcId="{747F9891-CEE1-43AB-8EE5-7E40216C913A}" destId="{9C58A270-6BFB-4A80-BD75-EC7DEC81C33A}" srcOrd="5" destOrd="0" presId="urn:microsoft.com/office/officeart/2005/8/layout/radial4"/>
    <dgm:cxn modelId="{7740805D-49D7-4ACC-8464-9AC9A51137EB}" type="presOf" srcId="{0E233BD5-9884-4F5D-9E97-1B5F02FFD0C8}" destId="{9C58A270-6BFB-4A80-BD75-EC7DEC81C33A}" srcOrd="0" destOrd="0" presId="urn:microsoft.com/office/officeart/2005/8/layout/radial4"/>
    <dgm:cxn modelId="{ABE0414D-77BD-4C27-9B19-6BA8EC02B6DA}" type="presParOf" srcId="{747F9891-CEE1-43AB-8EE5-7E40216C913A}" destId="{E98795DF-0FF8-4985-995B-A03C42B6D83C}" srcOrd="6" destOrd="0" presId="urn:microsoft.com/office/officeart/2005/8/layout/radial4"/>
    <dgm:cxn modelId="{59E11A10-3337-4031-A0A3-E8AEAEFD9AC8}" type="presOf" srcId="{6348DD4B-840A-4F89-A904-7FC150CEC0DC}" destId="{E98795DF-0FF8-4985-995B-A03C42B6D83C}" srcOrd="0" destOrd="0" presId="urn:microsoft.com/office/officeart/2005/8/layout/radial4"/>
    <dgm:cxn modelId="{644C80DE-FF4E-4A5C-8A5B-D10A23C4B73B}" type="presParOf" srcId="{747F9891-CEE1-43AB-8EE5-7E40216C913A}" destId="{C3FC8966-57FE-4C8D-8903-BE205CE2B0C7}" srcOrd="7" destOrd="0" presId="urn:microsoft.com/office/officeart/2005/8/layout/radial4"/>
    <dgm:cxn modelId="{4A18B591-448F-4847-9414-A94C2416E411}" type="presOf" srcId="{9B36E1CF-4484-43FA-8092-3B390A9EFAE6}" destId="{C3FC8966-57FE-4C8D-8903-BE205CE2B0C7}" srcOrd="0" destOrd="0" presId="urn:microsoft.com/office/officeart/2005/8/layout/radial4"/>
    <dgm:cxn modelId="{53180A0D-2FC8-4ADE-8E61-8CA3605B8D18}" type="presParOf" srcId="{747F9891-CEE1-43AB-8EE5-7E40216C913A}" destId="{8E6AB0A7-29E6-43B7-8986-94ED54DD84F2}" srcOrd="8" destOrd="0" presId="urn:microsoft.com/office/officeart/2005/8/layout/radial4"/>
    <dgm:cxn modelId="{1C85ACE8-4EA5-483F-9797-8809A50E0EC2}" type="presOf" srcId="{76A171A4-C76E-42D3-AB19-4CFDD9463D3A}" destId="{8E6AB0A7-29E6-43B7-8986-94ED54DD84F2}" srcOrd="0" destOrd="0" presId="urn:microsoft.com/office/officeart/2005/8/layout/radial4"/>
    <dgm:cxn modelId="{1092954B-3756-4D4F-92CF-CF1D3176B306}" type="presParOf" srcId="{747F9891-CEE1-43AB-8EE5-7E40216C913A}" destId="{BFA06A25-8FBD-462A-89DD-319C63D87AB3}" srcOrd="9" destOrd="0" presId="urn:microsoft.com/office/officeart/2005/8/layout/radial4"/>
    <dgm:cxn modelId="{75EEDE2D-C56E-4C2F-A9E3-55250D2EBE4A}" type="presOf" srcId="{65BD2C9D-61F1-4383-A458-CD776C5EEAD2}" destId="{BFA06A25-8FBD-462A-89DD-319C63D87AB3}" srcOrd="0" destOrd="0" presId="urn:microsoft.com/office/officeart/2005/8/layout/radial4"/>
    <dgm:cxn modelId="{DC7998A0-C9C9-4892-8DB0-598CE72D799C}" type="presParOf" srcId="{747F9891-CEE1-43AB-8EE5-7E40216C913A}" destId="{BED05D0C-89EC-4FB5-B846-1333FE6AC185}" srcOrd="10" destOrd="0" presId="urn:microsoft.com/office/officeart/2005/8/layout/radial4"/>
    <dgm:cxn modelId="{F2D939B7-AEB3-400C-A028-FD4C9118C7EF}" type="presOf" srcId="{5B9437E5-5A0E-475F-9971-8D0BA4212AAB}" destId="{BED05D0C-89EC-4FB5-B846-1333FE6AC185}" srcOrd="0" destOrd="0" presId="urn:microsoft.com/office/officeart/2005/8/layout/radial4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6750050" cy="4929505"/>
        <a:chOff x="0" y="0"/>
        <a:chExt cx="6750050" cy="4929505"/>
      </a:xfrm>
    </dsp:grpSpPr>
    <dsp:sp modelId="{54453CD1-FF23-4524-943E-431778D0731A}">
      <dsp:nvSpPr>
        <dsp:cNvPr id="3" name="椭圆 2"/>
        <dsp:cNvSpPr/>
      </dsp:nvSpPr>
      <dsp:spPr bwMode="white">
        <a:xfrm>
          <a:off x="2506349" y="2766727"/>
          <a:ext cx="1737352" cy="1737352"/>
        </a:xfrm>
        <a:prstGeom prst="ellipse">
          <a:avLst/>
        </a:prstGeom>
      </dsp:spPr>
      <dsp:style>
        <a:lnRef idx="2">
          <a:schemeClr val="lt1"/>
        </a:lnRef>
        <a:fillRef idx="1">
          <a:schemeClr val="accent3"/>
        </a:fillRef>
        <a:effectRef idx="0">
          <a:scrgbClr r="0" g="0" b="0"/>
        </a:effectRef>
        <a:fontRef idx="minor">
          <a:schemeClr val="lt1"/>
        </a:fontRef>
      </dsp:style>
      <dsp:txBody>
        <a:bodyPr vert="horz" wrap="square" lIns="24130" tIns="24130" rIns="24130" bIns="24130" anchor="ctr"/>
        <a:lstStyle>
          <a:lvl1pPr algn="ctr">
            <a:defRPr sz="3800"/>
          </a:lvl1pPr>
          <a:lvl2pPr marL="285750" indent="-285750" algn="ctr">
            <a:defRPr sz="2900"/>
          </a:lvl2pPr>
          <a:lvl3pPr marL="571500" indent="-285750" algn="ctr">
            <a:defRPr sz="2900"/>
          </a:lvl3pPr>
          <a:lvl4pPr marL="857250" indent="-285750" algn="ctr">
            <a:defRPr sz="2900"/>
          </a:lvl4pPr>
          <a:lvl5pPr marL="1143000" indent="-285750" algn="ctr">
            <a:defRPr sz="2900"/>
          </a:lvl5pPr>
          <a:lvl6pPr marL="1428750" indent="-285750" algn="ctr">
            <a:defRPr sz="2900"/>
          </a:lvl6pPr>
          <a:lvl7pPr marL="1714500" indent="-285750" algn="ctr">
            <a:defRPr sz="2900"/>
          </a:lvl7pPr>
          <a:lvl8pPr marL="2000250" indent="-285750" algn="ctr">
            <a:defRPr sz="2900"/>
          </a:lvl8pPr>
          <a:lvl9pPr marL="2286000" indent="-285750" algn="ctr">
            <a:defRPr sz="29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申报</a:t>
          </a:r>
          <a:r>
            <a:rPr lang="zh-CN" altLang="en-US"/>
            <a:t>部门</a:t>
          </a:r>
          <a:endParaRPr lang="zh-CN" altLang="en-US"/>
        </a:p>
      </dsp:txBody>
      <dsp:txXfrm>
        <a:off x="2506349" y="2766727"/>
        <a:ext cx="1737352" cy="1737352"/>
      </dsp:txXfrm>
    </dsp:sp>
    <dsp:sp modelId="{D87523C0-474C-4EE3-A70C-FD89405641B9}">
      <dsp:nvSpPr>
        <dsp:cNvPr id="10" name="左箭头 9"/>
        <dsp:cNvSpPr/>
      </dsp:nvSpPr>
      <dsp:spPr bwMode="white">
        <a:xfrm>
          <a:off x="4289931" y="3387830"/>
          <a:ext cx="1588646" cy="495145"/>
        </a:xfrm>
        <a:prstGeom prst="leftArrow">
          <a:avLst>
            <a:gd name="adj1" fmla="val 60000"/>
            <a:gd name="adj2" fmla="val 50000"/>
          </a:avLst>
        </a:prstGeom>
      </dsp:spPr>
      <dsp:style>
        <a:lnRef idx="0">
          <a:schemeClr val="lt1"/>
        </a:lnRef>
        <a:fillRef idx="1">
          <a:schemeClr val="accent4">
            <a:hueOff val="0"/>
            <a:satOff val="0"/>
            <a:lumOff val="0"/>
            <a:alpha val="100000"/>
          </a:schemeClr>
        </a:fillRef>
        <a:effectRef idx="0">
          <a:scrgbClr r="0" g="0" b="0"/>
        </a:effectRef>
        <a:fontRef idx="minor">
          <a:schemeClr val="lt1"/>
        </a:fontRef>
      </dsp:style>
      <dsp:txXfrm>
        <a:off x="4289931" y="3387830"/>
        <a:ext cx="1588646" cy="495145"/>
      </dsp:txXfrm>
    </dsp:sp>
    <dsp:sp modelId="{73343A77-984C-4068-93EE-74735C5C4BF4}">
      <dsp:nvSpPr>
        <dsp:cNvPr id="11" name="圆角矩形 10"/>
        <dsp:cNvSpPr/>
      </dsp:nvSpPr>
      <dsp:spPr bwMode="white">
        <a:xfrm>
          <a:off x="5099566" y="2975209"/>
          <a:ext cx="1650484" cy="1320387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4">
            <a:hueOff val="0"/>
            <a:satOff val="0"/>
            <a:lumOff val="0"/>
            <a:alpha val="10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vert="horz" wrap="square" lIns="32384" tIns="32384" rIns="32384" bIns="3238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700"/>
            <a:t>通知</a:t>
          </a:r>
          <a:r>
            <a:rPr lang="zh-CN" sz="1700"/>
            <a:t>消息</a:t>
          </a:r>
          <a:endParaRPr lang="zh-CN" sz="1700"/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200"/>
            <a:t>查看</a:t>
          </a:r>
          <a:r>
            <a:rPr lang="zh-CN" sz="1200"/>
            <a:t>招标</a:t>
          </a:r>
          <a:r>
            <a:rPr lang="zh-CN" sz="1200"/>
            <a:t>采购</a:t>
          </a:r>
          <a:r>
            <a:rPr lang="zh-CN" sz="1200"/>
            <a:t>管理</a:t>
          </a:r>
          <a:r>
            <a:rPr lang="zh-CN" sz="1200"/>
            <a:t>部门</a:t>
          </a:r>
          <a:r>
            <a:rPr lang="zh-CN" sz="1200"/>
            <a:t>的</a:t>
          </a:r>
          <a:r>
            <a:rPr lang="zh-CN" sz="1200"/>
            <a:t>通知</a:t>
          </a:r>
          <a:r>
            <a:rPr lang="zh-CN" sz="1200"/>
            <a:t>消息</a:t>
          </a:r>
          <a:endParaRPr lang="zh-CN" altLang="en-US" sz="1200"/>
        </a:p>
      </dsp:txBody>
      <dsp:txXfrm>
        <a:off x="5099566" y="2975209"/>
        <a:ext cx="1650484" cy="1320387"/>
      </dsp:txXfrm>
    </dsp:sp>
    <dsp:sp modelId="{C04097DD-DED0-459A-A03B-33FD00727EE8}">
      <dsp:nvSpPr>
        <dsp:cNvPr id="12" name="左箭头 11"/>
        <dsp:cNvSpPr/>
      </dsp:nvSpPr>
      <dsp:spPr bwMode="white">
        <a:xfrm rot="-2700000">
          <a:off x="3789310" y="2179223"/>
          <a:ext cx="1588646" cy="495145"/>
        </a:xfrm>
        <a:prstGeom prst="leftArrow">
          <a:avLst>
            <a:gd name="adj1" fmla="val 60000"/>
            <a:gd name="adj2" fmla="val 50000"/>
          </a:avLst>
        </a:prstGeom>
      </dsp:spPr>
      <dsp:style>
        <a:lnRef idx="0">
          <a:schemeClr val="lt1"/>
        </a:lnRef>
        <a:fillRef idx="1">
          <a:schemeClr val="accent4">
            <a:hueOff val="2445000"/>
            <a:satOff val="-10195"/>
            <a:lumOff val="2353"/>
            <a:alpha val="100000"/>
          </a:schemeClr>
        </a:fillRef>
        <a:effectRef idx="0">
          <a:scrgbClr r="0" g="0" b="0"/>
        </a:effectRef>
        <a:fontRef idx="minor">
          <a:schemeClr val="lt1"/>
        </a:fontRef>
      </dsp:style>
      <dsp:txXfrm rot="-2700000">
        <a:off x="3789310" y="2179223"/>
        <a:ext cx="1588646" cy="495145"/>
      </dsp:txXfrm>
    </dsp:sp>
    <dsp:sp modelId="{7536F33B-BE30-45BB-BA8B-122ECA22F909}">
      <dsp:nvSpPr>
        <dsp:cNvPr id="13" name="圆角矩形 12"/>
        <dsp:cNvSpPr/>
      </dsp:nvSpPr>
      <dsp:spPr bwMode="white">
        <a:xfrm>
          <a:off x="4352752" y="1172240"/>
          <a:ext cx="1650484" cy="1320387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4">
            <a:hueOff val="2445000"/>
            <a:satOff val="-10195"/>
            <a:lumOff val="2353"/>
            <a:alpha val="10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vert="horz" wrap="square" lIns="32384" tIns="32384" rIns="32384" bIns="32384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700"/>
            <a:t>校内</a:t>
          </a:r>
          <a:r>
            <a:rPr lang="zh-CN" sz="1700"/>
            <a:t>规章</a:t>
          </a:r>
          <a:endParaRPr lang="zh-CN" sz="1700"/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sz="1200"/>
            <a:t>查看</a:t>
          </a:r>
          <a:r>
            <a:rPr lang="zh-CN" sz="1200"/>
            <a:t>校内</a:t>
          </a:r>
          <a:r>
            <a:rPr lang="zh-CN" sz="1200"/>
            <a:t>关于</a:t>
          </a:r>
          <a:r>
            <a:rPr lang="zh-CN" sz="1200"/>
            <a:t>的</a:t>
          </a:r>
          <a:r>
            <a:rPr lang="zh-CN" sz="1200"/>
            <a:t>招标</a:t>
          </a:r>
          <a:r>
            <a:rPr lang="zh-CN" sz="1200"/>
            <a:t>采购</a:t>
          </a:r>
          <a:r>
            <a:rPr lang="zh-CN" sz="1200"/>
            <a:t>的</a:t>
          </a:r>
          <a:r>
            <a:rPr lang="zh-CN" sz="1200"/>
            <a:t>规章</a:t>
          </a:r>
          <a:r>
            <a:rPr lang="zh-CN" sz="1200"/>
            <a:t>制度</a:t>
          </a:r>
          <a:endParaRPr lang="zh-CN" altLang="en-US" sz="1200"/>
        </a:p>
      </dsp:txBody>
      <dsp:txXfrm>
        <a:off x="4352752" y="1172240"/>
        <a:ext cx="1650484" cy="1320387"/>
      </dsp:txXfrm>
    </dsp:sp>
    <dsp:sp modelId="{9C58A270-6BFB-4A80-BD75-EC7DEC81C33A}">
      <dsp:nvSpPr>
        <dsp:cNvPr id="4" name="左箭头 3"/>
        <dsp:cNvSpPr/>
      </dsp:nvSpPr>
      <dsp:spPr bwMode="white">
        <a:xfrm rot="16199999">
          <a:off x="2580702" y="1678601"/>
          <a:ext cx="1588646" cy="495145"/>
        </a:xfrm>
        <a:prstGeom prst="leftArrow">
          <a:avLst>
            <a:gd name="adj1" fmla="val 60000"/>
            <a:gd name="adj2" fmla="val 50000"/>
          </a:avLst>
        </a:prstGeom>
      </dsp:spPr>
      <dsp:style>
        <a:lnRef idx="0">
          <a:schemeClr val="lt1"/>
        </a:lnRef>
        <a:fillRef idx="1">
          <a:schemeClr val="accent4">
            <a:hueOff val="4890000"/>
            <a:satOff val="-20391"/>
            <a:lumOff val="4706"/>
            <a:alpha val="100000"/>
          </a:schemeClr>
        </a:fillRef>
        <a:effectRef idx="0">
          <a:scrgbClr r="0" g="0" b="0"/>
        </a:effectRef>
        <a:fontRef idx="minor">
          <a:schemeClr val="lt1"/>
        </a:fontRef>
      </dsp:style>
      <dsp:txXfrm rot="16199999">
        <a:off x="2580702" y="1678601"/>
        <a:ext cx="1588646" cy="495145"/>
      </dsp:txXfrm>
    </dsp:sp>
    <dsp:sp modelId="{E98795DF-0FF8-4985-995B-A03C42B6D83C}">
      <dsp:nvSpPr>
        <dsp:cNvPr id="5" name="圆角矩形 4"/>
        <dsp:cNvSpPr/>
      </dsp:nvSpPr>
      <dsp:spPr bwMode="white">
        <a:xfrm>
          <a:off x="2549783" y="425426"/>
          <a:ext cx="1650484" cy="1320387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4">
            <a:hueOff val="4890000"/>
            <a:satOff val="-20391"/>
            <a:lumOff val="4706"/>
            <a:alpha val="10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vert="horz" wrap="square" lIns="41910" tIns="41910" rIns="41910" bIns="4191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200"/>
            <a:t>项目</a:t>
          </a:r>
          <a:r>
            <a:rPr lang="zh-CN" altLang="en-US" sz="2200"/>
            <a:t>执行</a:t>
          </a:r>
          <a:endParaRPr lang="zh-CN" altLang="en-US" sz="2200"/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技术</a:t>
          </a:r>
          <a:r>
            <a:rPr lang="zh-CN" altLang="en-US" sz="1200"/>
            <a:t>确认  合同</a:t>
          </a:r>
          <a:r>
            <a:rPr lang="zh-CN" altLang="en-US" sz="1200"/>
            <a:t>签订</a:t>
          </a:r>
          <a:endParaRPr lang="zh-CN" altLang="en-US" sz="1200"/>
        </a:p>
      </dsp:txBody>
      <dsp:txXfrm>
        <a:off x="2549783" y="425426"/>
        <a:ext cx="1650484" cy="1320387"/>
      </dsp:txXfrm>
    </dsp:sp>
    <dsp:sp modelId="{C3FC8966-57FE-4C8D-8903-BE205CE2B0C7}">
      <dsp:nvSpPr>
        <dsp:cNvPr id="6" name="左箭头 5"/>
        <dsp:cNvSpPr/>
      </dsp:nvSpPr>
      <dsp:spPr bwMode="white">
        <a:xfrm rot="13499999">
          <a:off x="1372094" y="2179223"/>
          <a:ext cx="1588646" cy="495145"/>
        </a:xfrm>
        <a:prstGeom prst="leftArrow">
          <a:avLst>
            <a:gd name="adj1" fmla="val 60000"/>
            <a:gd name="adj2" fmla="val 50000"/>
          </a:avLst>
        </a:prstGeom>
      </dsp:spPr>
      <dsp:style>
        <a:lnRef idx="0">
          <a:schemeClr val="lt1"/>
        </a:lnRef>
        <a:fillRef idx="1">
          <a:schemeClr val="accent4">
            <a:hueOff val="7335000"/>
            <a:satOff val="-30587"/>
            <a:lumOff val="7059"/>
            <a:alpha val="100000"/>
          </a:schemeClr>
        </a:fillRef>
        <a:effectRef idx="0">
          <a:scrgbClr r="0" g="0" b="0"/>
        </a:effectRef>
        <a:fontRef idx="minor">
          <a:schemeClr val="lt1"/>
        </a:fontRef>
      </dsp:style>
      <dsp:txXfrm rot="13499999">
        <a:off x="1372094" y="2179223"/>
        <a:ext cx="1588646" cy="495145"/>
      </dsp:txXfrm>
    </dsp:sp>
    <dsp:sp modelId="{8E6AB0A7-29E6-43B7-8986-94ED54DD84F2}">
      <dsp:nvSpPr>
        <dsp:cNvPr id="7" name="圆角矩形 6"/>
        <dsp:cNvSpPr/>
      </dsp:nvSpPr>
      <dsp:spPr bwMode="white">
        <a:xfrm>
          <a:off x="746814" y="1172240"/>
          <a:ext cx="1650484" cy="1320387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4">
            <a:hueOff val="7335000"/>
            <a:satOff val="-30587"/>
            <a:lumOff val="7059"/>
            <a:alpha val="10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vert="horz" wrap="square" lIns="41910" tIns="41910" rIns="41910" bIns="4191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200"/>
            <a:t>项目</a:t>
          </a:r>
          <a:r>
            <a:rPr lang="zh-CN" altLang="en-US" sz="2200"/>
            <a:t>申报</a:t>
          </a:r>
          <a:endParaRPr lang="zh-CN" altLang="en-US" sz="2200"/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新建</a:t>
          </a:r>
          <a:r>
            <a:rPr lang="zh-CN" altLang="en-US" sz="1200"/>
            <a:t>申报    </a:t>
          </a:r>
          <a:r>
            <a:rPr lang="zh-CN" altLang="en-US" sz="1200"/>
            <a:t>申报</a:t>
          </a:r>
          <a:r>
            <a:rPr lang="zh-CN" altLang="en-US" sz="1200"/>
            <a:t>列表</a:t>
          </a:r>
          <a:endParaRPr lang="zh-CN" altLang="en-US" sz="1200"/>
        </a:p>
      </dsp:txBody>
      <dsp:txXfrm>
        <a:off x="746814" y="1172240"/>
        <a:ext cx="1650484" cy="1320387"/>
      </dsp:txXfrm>
    </dsp:sp>
    <dsp:sp modelId="{BFA06A25-8FBD-462A-89DD-319C63D87AB3}">
      <dsp:nvSpPr>
        <dsp:cNvPr id="8" name="左箭头 7"/>
        <dsp:cNvSpPr/>
      </dsp:nvSpPr>
      <dsp:spPr bwMode="white">
        <a:xfrm rot="10799999">
          <a:off x="871472" y="3387830"/>
          <a:ext cx="1588646" cy="495145"/>
        </a:xfrm>
        <a:prstGeom prst="leftArrow">
          <a:avLst>
            <a:gd name="adj1" fmla="val 60000"/>
            <a:gd name="adj2" fmla="val 50000"/>
          </a:avLst>
        </a:prstGeom>
      </dsp:spPr>
      <dsp:style>
        <a:lnRef idx="0">
          <a:schemeClr val="lt1"/>
        </a:lnRef>
        <a:fillRef idx="1">
          <a:schemeClr val="accent4">
            <a:hueOff val="9780000"/>
            <a:satOff val="-40783"/>
            <a:lumOff val="9412"/>
            <a:alpha val="100000"/>
          </a:schemeClr>
        </a:fillRef>
        <a:effectRef idx="0">
          <a:scrgbClr r="0" g="0" b="0"/>
        </a:effectRef>
        <a:fontRef idx="minor">
          <a:schemeClr val="lt1"/>
        </a:fontRef>
      </dsp:style>
      <dsp:txXfrm rot="10799999">
        <a:off x="871472" y="3387830"/>
        <a:ext cx="1588646" cy="495145"/>
      </dsp:txXfrm>
    </dsp:sp>
    <dsp:sp modelId="{BED05D0C-89EC-4FB5-B846-1333FE6AC185}">
      <dsp:nvSpPr>
        <dsp:cNvPr id="9" name="圆角矩形 8"/>
        <dsp:cNvSpPr/>
      </dsp:nvSpPr>
      <dsp:spPr bwMode="white">
        <a:xfrm>
          <a:off x="0" y="2975209"/>
          <a:ext cx="1650484" cy="1320387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4">
            <a:hueOff val="9780000"/>
            <a:satOff val="-40783"/>
            <a:lumOff val="9412"/>
            <a:alpha val="10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vert="horz" wrap="square" lIns="41910" tIns="41910" rIns="41910" bIns="4191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2200"/>
            <a:t>首页</a:t>
          </a:r>
          <a:endParaRPr lang="zh-CN" altLang="en-US" sz="2200"/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任务</a:t>
          </a:r>
          <a:r>
            <a:rPr lang="zh-CN" altLang="en-US" sz="1200"/>
            <a:t>消息    通知</a:t>
          </a:r>
          <a:r>
            <a:rPr lang="zh-CN" altLang="en-US" sz="1200"/>
            <a:t>消息</a:t>
          </a:r>
          <a:endParaRPr lang="zh-CN" altLang="en-US" sz="1200"/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/>
            <a:t>任务</a:t>
          </a:r>
          <a:r>
            <a:rPr lang="zh-CN" altLang="en-US" sz="1200"/>
            <a:t>预警    </a:t>
          </a:r>
          <a:r>
            <a:rPr lang="zh-CN" altLang="en-US" sz="1200"/>
            <a:t>数据</a:t>
          </a:r>
          <a:r>
            <a:rPr lang="zh-CN" altLang="en-US" sz="1200"/>
            <a:t>统计</a:t>
          </a:r>
          <a:endParaRPr lang="zh-CN" altLang="en-US" sz="1200"/>
        </a:p>
      </dsp:txBody>
      <dsp:txXfrm>
        <a:off x="0" y="2975209"/>
        <a:ext cx="1650484" cy="13203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>
          <dgm:prSet qsTypeId="urn:microsoft.com/office/officeart/2005/8/quickstyle/simple5"/>
        </dgm:pt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>
          <dgm:prSet csTypeId="urn:microsoft.com/office/officeart/2005/8/colors/accent6_5"/>
        </dgm:pt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Sty" val="arr"/>
              <dgm:param type="endSty" val="noArr"/>
              <dgm:param type="begPts" val="auto"/>
              <dgm:param type="endPts" val="ct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1374</Words>
  <Characters>1414</Characters>
  <Lines>16</Lines>
  <Paragraphs>4</Paragraphs>
  <TotalTime>20</TotalTime>
  <ScaleCrop>false</ScaleCrop>
  <LinksUpToDate>false</LinksUpToDate>
  <CharactersWithSpaces>1634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2019-03-18T08:35:00Z</dcterms:created>
  <dc:creator>Gavin Goo</dc:creator>
  <cp:lastModifiedBy>PC</cp:lastModifiedBy>
  <dcterms:modified xsi:type="dcterms:W3CDTF">2019-03-18T14:41:50Z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